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44"/>
          <w:szCs w:val="44"/>
        </w:rPr>
      </w:pPr>
      <w:r>
        <w:rPr>
          <w:rFonts w:hint="eastAsia" w:ascii="宋体" w:hAnsi="宋体" w:eastAsia="宋体" w:cs="宋体"/>
          <w:b/>
          <w:sz w:val="44"/>
          <w:szCs w:val="44"/>
        </w:rPr>
        <w:t>上海交通大学巴黎卓越工程师学院</w:t>
      </w:r>
    </w:p>
    <w:p>
      <w:pPr>
        <w:jc w:val="center"/>
        <w:rPr>
          <w:rFonts w:ascii="宋体" w:hAnsi="宋体" w:eastAsia="宋体" w:cs="宋体"/>
          <w:b/>
          <w:sz w:val="44"/>
          <w:szCs w:val="44"/>
        </w:rPr>
      </w:pPr>
      <w:r>
        <w:rPr>
          <w:rFonts w:hint="eastAsia" w:ascii="宋体" w:hAnsi="宋体" w:eastAsia="宋体" w:cs="宋体"/>
          <w:b/>
          <w:sz w:val="44"/>
          <w:szCs w:val="44"/>
        </w:rPr>
        <w:t>研究生国家奖学金评审细则</w:t>
      </w:r>
    </w:p>
    <w:p>
      <w:pPr>
        <w:spacing w:line="360" w:lineRule="auto"/>
        <w:rPr>
          <w:rFonts w:ascii="仿宋" w:hAnsi="仿宋" w:eastAsia="仿宋" w:cs="仿宋"/>
          <w:color w:val="000000" w:themeColor="text1"/>
          <w:sz w:val="32"/>
          <w:szCs w:val="32"/>
          <w14:textFill>
            <w14:solidFill>
              <w14:schemeClr w14:val="tx1"/>
            </w14:solidFill>
          </w14:textFill>
        </w:rPr>
      </w:pPr>
    </w:p>
    <w:p>
      <w:pPr>
        <w:spacing w:after="100" w:afterAutospacing="1" w:line="360" w:lineRule="auto"/>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为</w:t>
      </w:r>
      <w:r>
        <w:rPr>
          <w:rFonts w:hint="eastAsia" w:ascii="仿宋" w:hAnsi="仿宋" w:eastAsia="仿宋" w:cs="仿宋"/>
          <w:color w:val="000000" w:themeColor="text1"/>
          <w:kern w:val="0"/>
          <w:sz w:val="32"/>
          <w:szCs w:val="32"/>
          <w14:textFill>
            <w14:solidFill>
              <w14:schemeClr w14:val="tx1"/>
            </w14:solidFill>
          </w14:textFill>
        </w:rPr>
        <w:t>大力推进研究生培养机制改革，提高研究生培养质量</w:t>
      </w:r>
      <w:bookmarkStart w:id="0" w:name="_GoBack"/>
      <w:r>
        <w:rPr>
          <w:rFonts w:hint="eastAsia" w:ascii="仿宋" w:hAnsi="仿宋" w:eastAsia="仿宋" w:cs="仿宋"/>
          <w:color w:val="000000" w:themeColor="text1"/>
          <w:kern w:val="0"/>
          <w:sz w:val="32"/>
          <w:szCs w:val="32"/>
          <w14:textFill>
            <w14:solidFill>
              <w14:schemeClr w14:val="tx1"/>
            </w14:solidFill>
          </w14:textFill>
        </w:rPr>
        <w:t>，根据《财政部 教育部 人力资源社会保障部 退役军人部 中央军委国防动员部关于印发〈学生资助资金管理办法〉的通知》（财科教〔2021〕310号）和《教育部 财政部关于印发〈普通高等学校研究生国家奖学金评审办法〉的通知》（教财〔2014〕1号）及《上海交通大学研究生国家奖学金评审实施细则》（沪交学〔2017〕31号）等文件的要求</w:t>
      </w:r>
      <w:r>
        <w:rPr>
          <w:rFonts w:hint="eastAsia" w:ascii="仿宋" w:hAnsi="仿宋" w:eastAsia="仿宋" w:cs="仿宋"/>
          <w:color w:val="000000" w:themeColor="text1"/>
          <w:kern w:val="0"/>
          <w:sz w:val="32"/>
          <w:szCs w:val="32"/>
          <w14:textFill>
            <w14:solidFill>
              <w14:schemeClr w14:val="tx1"/>
            </w14:solidFill>
          </w14:textFill>
        </w:rPr>
        <w:t>和当年度学校研究生国家奖学金</w:t>
      </w:r>
      <w:bookmarkEnd w:id="0"/>
      <w:r>
        <w:rPr>
          <w:rFonts w:hint="eastAsia" w:ascii="仿宋" w:hAnsi="仿宋" w:eastAsia="仿宋" w:cs="仿宋"/>
          <w:color w:val="000000" w:themeColor="text1"/>
          <w:kern w:val="0"/>
          <w:sz w:val="32"/>
          <w:szCs w:val="32"/>
          <w14:textFill>
            <w14:solidFill>
              <w14:schemeClr w14:val="tx1"/>
            </w14:solidFill>
          </w14:textFill>
        </w:rPr>
        <w:t xml:space="preserve">评选工作的通知，结合我院实际，制定本实施细则。 </w:t>
      </w:r>
    </w:p>
    <w:p>
      <w:pPr>
        <w:widowControl/>
        <w:numPr>
          <w:ilvl w:val="0"/>
          <w:numId w:val="1"/>
        </w:numPr>
        <w:adjustRightInd w:val="0"/>
        <w:snapToGrid w:val="0"/>
        <w:spacing w:before="100" w:beforeAutospacing="1" w:after="100" w:afterAutospacing="1" w:line="360" w:lineRule="auto"/>
        <w:jc w:val="center"/>
        <w:rPr>
          <w:rFonts w:ascii="仿宋" w:hAnsi="仿宋" w:eastAsia="仿宋" w:cs="仿宋"/>
          <w:b/>
          <w:color w:val="000000" w:themeColor="text1"/>
          <w:kern w:val="0"/>
          <w:sz w:val="32"/>
          <w:szCs w:val="32"/>
          <w14:textFill>
            <w14:solidFill>
              <w14:schemeClr w14:val="tx1"/>
            </w14:solidFill>
          </w14:textFill>
        </w:rPr>
      </w:pPr>
      <w:r>
        <w:rPr>
          <w:rFonts w:hint="eastAsia" w:ascii="仿宋" w:hAnsi="仿宋" w:eastAsia="仿宋" w:cs="仿宋"/>
          <w:b/>
          <w:color w:val="000000" w:themeColor="text1"/>
          <w:kern w:val="0"/>
          <w:sz w:val="32"/>
          <w:szCs w:val="32"/>
          <w14:textFill>
            <w14:solidFill>
              <w14:schemeClr w14:val="tx1"/>
            </w14:solidFill>
          </w14:textFill>
        </w:rPr>
        <w:t>总 则</w:t>
      </w:r>
    </w:p>
    <w:p>
      <w:pPr>
        <w:widowControl/>
        <w:pBdr>
          <w:top w:val="none" w:color="auto" w:sz="0" w:space="1"/>
          <w:left w:val="none" w:color="auto" w:sz="0" w:space="4"/>
          <w:bottom w:val="none" w:color="auto" w:sz="0" w:space="1"/>
          <w:right w:val="none" w:color="auto" w:sz="0" w:space="4"/>
        </w:pBdr>
        <w:adjustRightInd w:val="0"/>
        <w:snapToGrid w:val="0"/>
        <w:spacing w:before="100" w:beforeAutospacing="1" w:after="100" w:afterAutospacing="1" w:line="360" w:lineRule="auto"/>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b/>
          <w:color w:val="000000" w:themeColor="text1"/>
          <w:kern w:val="0"/>
          <w:sz w:val="32"/>
          <w:szCs w:val="32"/>
          <w14:textFill>
            <w14:solidFill>
              <w14:schemeClr w14:val="tx1"/>
            </w14:solidFill>
          </w14:textFill>
        </w:rPr>
        <w:t>第一条</w:t>
      </w:r>
      <w:r>
        <w:rPr>
          <w:rFonts w:hint="eastAsia" w:ascii="仿宋" w:hAnsi="仿宋" w:eastAsia="仿宋" w:cs="仿宋"/>
          <w:color w:val="000000" w:themeColor="text1"/>
          <w:kern w:val="0"/>
          <w:sz w:val="32"/>
          <w:szCs w:val="32"/>
          <w14:textFill>
            <w14:solidFill>
              <w14:schemeClr w14:val="tx1"/>
            </w14:solidFill>
          </w14:textFill>
        </w:rPr>
        <w:t xml:space="preserve"> 研究生国家奖学金是由中央财政出资，用于奖励全国普通高等学校中表现优异的全日制研究生。</w:t>
      </w:r>
    </w:p>
    <w:p>
      <w:pPr>
        <w:widowControl/>
        <w:pBdr>
          <w:top w:val="none" w:color="auto" w:sz="0" w:space="1"/>
          <w:left w:val="none" w:color="auto" w:sz="0" w:space="4"/>
          <w:bottom w:val="none" w:color="auto" w:sz="0" w:space="1"/>
          <w:right w:val="none" w:color="auto" w:sz="0" w:space="4"/>
        </w:pBdr>
        <w:adjustRightInd w:val="0"/>
        <w:snapToGrid w:val="0"/>
        <w:spacing w:before="100" w:beforeAutospacing="1" w:after="100" w:afterAutospacing="1" w:line="360" w:lineRule="auto"/>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b/>
          <w:color w:val="000000" w:themeColor="text1"/>
          <w:kern w:val="0"/>
          <w:sz w:val="32"/>
          <w:szCs w:val="32"/>
          <w14:textFill>
            <w14:solidFill>
              <w14:schemeClr w14:val="tx1"/>
            </w14:solidFill>
          </w14:textFill>
        </w:rPr>
        <w:t>第二条</w:t>
      </w:r>
      <w:r>
        <w:rPr>
          <w:rFonts w:hint="eastAsia" w:ascii="仿宋" w:hAnsi="仿宋" w:eastAsia="仿宋" w:cs="仿宋"/>
          <w:color w:val="000000" w:themeColor="text1"/>
          <w:kern w:val="0"/>
          <w:sz w:val="32"/>
          <w:szCs w:val="32"/>
          <w14:textFill>
            <w14:solidFill>
              <w14:schemeClr w14:val="tx1"/>
            </w14:solidFill>
          </w14:textFill>
        </w:rPr>
        <w:t xml:space="preserve"> 研究生国家奖学金的评审工作，应坚持公开、公平、公正、择优的原则，严格执行国家有关教育法规，杜绝弄虚作假。</w:t>
      </w:r>
    </w:p>
    <w:p>
      <w:pPr>
        <w:widowControl/>
        <w:adjustRightInd w:val="0"/>
        <w:snapToGrid w:val="0"/>
        <w:spacing w:before="100" w:beforeAutospacing="1" w:after="100" w:afterAutospacing="1" w:line="360" w:lineRule="auto"/>
        <w:jc w:val="left"/>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b/>
          <w:color w:val="000000" w:themeColor="text1"/>
          <w:kern w:val="0"/>
          <w:sz w:val="32"/>
          <w:szCs w:val="32"/>
          <w14:textFill>
            <w14:solidFill>
              <w14:schemeClr w14:val="tx1"/>
            </w14:solidFill>
          </w14:textFill>
        </w:rPr>
        <w:t>第三条</w:t>
      </w:r>
      <w:r>
        <w:rPr>
          <w:rFonts w:hint="eastAsia" w:ascii="仿宋" w:hAnsi="仿宋" w:eastAsia="仿宋" w:cs="仿宋"/>
          <w:color w:val="000000" w:themeColor="text1"/>
          <w:kern w:val="0"/>
          <w:sz w:val="32"/>
          <w:szCs w:val="32"/>
          <w14:textFill>
            <w14:solidFill>
              <w14:schemeClr w14:val="tx1"/>
            </w14:solidFill>
          </w14:textFill>
        </w:rPr>
        <w:t xml:space="preserve"> 国家奖学金奖励金额、名额由学校于每年下达至学院。为统一、规范评选流程，申请国家奖学金的学生须按要求向学院学生工作办公室递交申报材料，由学院根据此细则统一进行评审。凡不按要求提交申报材料的学生将无法申请获得所有批次的国家奖学金。 </w:t>
      </w:r>
    </w:p>
    <w:p>
      <w:pPr>
        <w:widowControl/>
        <w:adjustRightInd w:val="0"/>
        <w:snapToGrid w:val="0"/>
        <w:spacing w:before="100" w:beforeAutospacing="1" w:after="100" w:afterAutospacing="1" w:line="360" w:lineRule="auto"/>
        <w:jc w:val="center"/>
        <w:rPr>
          <w:rFonts w:ascii="仿宋" w:hAnsi="仿宋" w:eastAsia="仿宋" w:cs="仿宋"/>
          <w:b/>
          <w:color w:val="000000" w:themeColor="text1"/>
          <w:kern w:val="0"/>
          <w:sz w:val="32"/>
          <w:szCs w:val="32"/>
          <w14:textFill>
            <w14:solidFill>
              <w14:schemeClr w14:val="tx1"/>
            </w14:solidFill>
          </w14:textFill>
        </w:rPr>
      </w:pPr>
      <w:r>
        <w:rPr>
          <w:rFonts w:hint="eastAsia" w:ascii="仿宋" w:hAnsi="仿宋" w:eastAsia="仿宋" w:cs="仿宋"/>
          <w:b/>
          <w:color w:val="000000" w:themeColor="text1"/>
          <w:kern w:val="0"/>
          <w:sz w:val="32"/>
          <w:szCs w:val="32"/>
          <w14:textFill>
            <w14:solidFill>
              <w14:schemeClr w14:val="tx1"/>
            </w14:solidFill>
          </w14:textFill>
        </w:rPr>
        <w:t>第二章 组织机构</w:t>
      </w:r>
    </w:p>
    <w:p>
      <w:pPr>
        <w:spacing w:line="360" w:lineRule="auto"/>
        <w:jc w:val="left"/>
        <w:rPr>
          <w:rFonts w:hint="eastAsia" w:ascii="仿宋" w:hAnsi="仿宋" w:eastAsia="仿宋" w:cs="仿宋"/>
          <w:sz w:val="32"/>
          <w:szCs w:val="32"/>
          <w:highlight w:val="none"/>
          <w:lang w:eastAsia="zh-CN"/>
        </w:rPr>
      </w:pPr>
      <w:r>
        <w:rPr>
          <w:rFonts w:hint="eastAsia" w:ascii="仿宋" w:hAnsi="仿宋" w:eastAsia="仿宋" w:cs="仿宋"/>
          <w:b/>
          <w:color w:val="000000" w:themeColor="text1"/>
          <w:kern w:val="0"/>
          <w:sz w:val="32"/>
          <w:szCs w:val="32"/>
          <w:highlight w:val="none"/>
          <w14:textFill>
            <w14:solidFill>
              <w14:schemeClr w14:val="tx1"/>
            </w14:solidFill>
          </w14:textFill>
        </w:rPr>
        <w:t>第四条</w:t>
      </w:r>
      <w:r>
        <w:rPr>
          <w:rFonts w:hint="eastAsia" w:ascii="仿宋" w:hAnsi="仿宋" w:eastAsia="仿宋" w:cs="仿宋"/>
          <w:color w:val="000000" w:themeColor="text1"/>
          <w:kern w:val="0"/>
          <w:sz w:val="32"/>
          <w:szCs w:val="32"/>
          <w:highlight w:val="none"/>
          <w14:textFill>
            <w14:solidFill>
              <w14:schemeClr w14:val="tx1"/>
            </w14:solidFill>
          </w14:textFill>
        </w:rPr>
        <w:t xml:space="preserve"> </w:t>
      </w:r>
      <w:r>
        <w:rPr>
          <w:rFonts w:hint="eastAsia" w:ascii="仿宋" w:hAnsi="仿宋" w:eastAsia="仿宋" w:cs="仿宋"/>
          <w:sz w:val="32"/>
          <w:szCs w:val="32"/>
          <w:highlight w:val="none"/>
        </w:rPr>
        <w:t>学院成立奖学金评审委员会，由书记、院长担任评审委员会主任，由教学副院长、学生工作副书记、思政教师、教务员、专业教师等担任评审委员。</w:t>
      </w:r>
    </w:p>
    <w:p>
      <w:pPr>
        <w:spacing w:line="360" w:lineRule="auto"/>
        <w:jc w:val="left"/>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　　评审委员会成员在评审工作中应遵循以下原则</w:t>
      </w:r>
      <w:r>
        <w:rPr>
          <w:rFonts w:hint="eastAsia" w:ascii="仿宋" w:hAnsi="仿宋" w:eastAsia="仿宋" w:cs="仿宋"/>
          <w:color w:val="000000" w:themeColor="text1"/>
          <w:kern w:val="0"/>
          <w:sz w:val="32"/>
          <w:szCs w:val="32"/>
          <w14:textFill>
            <w14:solidFill>
              <w14:schemeClr w14:val="tx1"/>
            </w14:solidFill>
          </w14:textFill>
        </w:rPr>
        <w:t xml:space="preserve">: </w:t>
      </w:r>
    </w:p>
    <w:p>
      <w:pPr>
        <w:numPr>
          <w:ilvl w:val="0"/>
          <w:numId w:val="2"/>
        </w:numPr>
        <w:spacing w:line="360" w:lineRule="auto"/>
        <w:ind w:firstLine="640" w:firstLineChars="20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平等原则，即在评审过程中，积极听取其他委员的意见，在平等、协商的气氛中提出评审意见;</w:t>
      </w:r>
    </w:p>
    <w:p>
      <w:pPr>
        <w:numPr>
          <w:ilvl w:val="0"/>
          <w:numId w:val="2"/>
        </w:numPr>
        <w:spacing w:line="360" w:lineRule="auto"/>
        <w:ind w:firstLine="640" w:firstLineChars="20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xml:space="preserve">回避原则，即当发生与评审对象存在导学师生关系、亲属关系、直接经济利益关系或有其他可能影响评审工作公平公正的情形，应主动向评审委员会申请回避; </w:t>
      </w:r>
    </w:p>
    <w:p>
      <w:pPr>
        <w:numPr>
          <w:ilvl w:val="0"/>
          <w:numId w:val="2"/>
        </w:numPr>
        <w:spacing w:line="360" w:lineRule="auto"/>
        <w:ind w:firstLine="640" w:firstLineChars="20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xml:space="preserve">公正原则，即不得利用评审委员会的特殊身份和影响力，单独或与有关人员共同为评审对象获奖提供便利; </w:t>
      </w:r>
    </w:p>
    <w:p>
      <w:pPr>
        <w:numPr>
          <w:ilvl w:val="0"/>
          <w:numId w:val="2"/>
        </w:numPr>
        <w:spacing w:after="100" w:afterAutospacing="1" w:line="360" w:lineRule="auto"/>
        <w:ind w:left="0" w:leftChars="0" w:firstLine="640" w:firstLineChars="20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保密原则，即严格遵守保密规定，不得擅自披露评审结果、其他评审委员的意见和相关的保密信息</w:t>
      </w:r>
    </w:p>
    <w:p>
      <w:pPr>
        <w:widowControl/>
        <w:adjustRightInd w:val="0"/>
        <w:snapToGrid w:val="0"/>
        <w:spacing w:before="100" w:beforeAutospacing="1" w:after="100" w:afterAutospacing="1" w:line="360" w:lineRule="auto"/>
        <w:jc w:val="center"/>
        <w:rPr>
          <w:rFonts w:hint="eastAsia" w:ascii="仿宋" w:hAnsi="仿宋" w:eastAsia="仿宋" w:cs="仿宋"/>
          <w:b/>
          <w:bCs/>
          <w:color w:val="000000" w:themeColor="text1"/>
          <w:kern w:val="0"/>
          <w:sz w:val="32"/>
          <w:szCs w:val="32"/>
          <w:lang w:val="en-US" w:eastAsia="zh-CN"/>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第三章 申 请</w:t>
      </w:r>
      <w:r>
        <w:rPr>
          <w:rFonts w:hint="eastAsia" w:ascii="仿宋" w:hAnsi="仿宋" w:eastAsia="仿宋" w:cs="仿宋"/>
          <w:b/>
          <w:bCs/>
          <w:color w:val="000000" w:themeColor="text1"/>
          <w:kern w:val="0"/>
          <w:sz w:val="32"/>
          <w:szCs w:val="32"/>
          <w:lang w:val="en-US" w:eastAsia="zh-CN"/>
          <w14:textFill>
            <w14:solidFill>
              <w14:schemeClr w14:val="tx1"/>
            </w14:solidFill>
          </w14:textFill>
        </w:rPr>
        <w:t xml:space="preserve">                                                         </w:t>
      </w:r>
    </w:p>
    <w:p>
      <w:pPr>
        <w:widowControl/>
        <w:adjustRightInd w:val="0"/>
        <w:snapToGrid w:val="0"/>
        <w:spacing w:before="100" w:beforeAutospacing="1" w:after="100" w:afterAutospacing="1" w:line="360" w:lineRule="auto"/>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第</w:t>
      </w:r>
      <w:r>
        <w:rPr>
          <w:rFonts w:hint="eastAsia" w:ascii="仿宋" w:hAnsi="仿宋" w:eastAsia="仿宋" w:cs="仿宋"/>
          <w:b/>
          <w:color w:val="000000" w:themeColor="text1"/>
          <w:sz w:val="32"/>
          <w:szCs w:val="32"/>
          <w:lang w:val="en-US" w:eastAsia="zh-CN"/>
          <w14:textFill>
            <w14:solidFill>
              <w14:schemeClr w14:val="tx1"/>
            </w14:solidFill>
          </w14:textFill>
        </w:rPr>
        <w:t>五</w:t>
      </w:r>
      <w:r>
        <w:rPr>
          <w:rFonts w:hint="eastAsia" w:ascii="仿宋" w:hAnsi="仿宋" w:eastAsia="仿宋" w:cs="仿宋"/>
          <w:b/>
          <w:color w:val="000000" w:themeColor="text1"/>
          <w:sz w:val="32"/>
          <w:szCs w:val="32"/>
          <w14:textFill>
            <w14:solidFill>
              <w14:schemeClr w14:val="tx1"/>
            </w14:solidFill>
          </w14:textFill>
        </w:rPr>
        <w:t>条</w:t>
      </w:r>
      <w:r>
        <w:rPr>
          <w:rFonts w:hint="eastAsia" w:ascii="仿宋" w:hAnsi="仿宋" w:eastAsia="仿宋" w:cs="仿宋"/>
          <w:color w:val="000000" w:themeColor="text1"/>
          <w:sz w:val="32"/>
          <w:szCs w:val="32"/>
          <w14:textFill>
            <w14:solidFill>
              <w14:schemeClr w14:val="tx1"/>
            </w14:solidFill>
          </w14:textFill>
        </w:rPr>
        <w:t xml:space="preserve"> 凡具有中华人民共和国国籍且纳入全国研究生招生计划的全日制（全脱产学习）研究生在学制期限</w:t>
      </w:r>
      <w:r>
        <w:rPr>
          <w:rFonts w:hint="eastAsia" w:ascii="仿宋" w:hAnsi="仿宋" w:eastAsia="仿宋" w:cs="仿宋"/>
          <w:sz w:val="32"/>
          <w:szCs w:val="32"/>
        </w:rPr>
        <w:t>基本</w:t>
      </w:r>
      <w:r>
        <w:rPr>
          <w:rFonts w:hint="eastAsia" w:ascii="仿宋" w:hAnsi="仿宋" w:eastAsia="仿宋" w:cs="仿宋"/>
          <w:color w:val="000000" w:themeColor="text1"/>
          <w:sz w:val="32"/>
          <w:szCs w:val="32"/>
          <w14:textFill>
            <w14:solidFill>
              <w14:schemeClr w14:val="tx1"/>
            </w14:solidFill>
          </w14:textFill>
        </w:rPr>
        <w:t>修业年限内均有资格申请。</w:t>
      </w:r>
    </w:p>
    <w:p>
      <w:pPr>
        <w:widowControl/>
        <w:adjustRightInd w:val="0"/>
        <w:snapToGrid w:val="0"/>
        <w:spacing w:line="360" w:lineRule="auto"/>
        <w:jc w:val="left"/>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b/>
          <w:color w:val="000000" w:themeColor="text1"/>
          <w:kern w:val="0"/>
          <w:sz w:val="32"/>
          <w:szCs w:val="32"/>
          <w14:textFill>
            <w14:solidFill>
              <w14:schemeClr w14:val="tx1"/>
            </w14:solidFill>
          </w14:textFill>
        </w:rPr>
        <w:t>第</w:t>
      </w:r>
      <w:r>
        <w:rPr>
          <w:rFonts w:hint="eastAsia" w:ascii="仿宋" w:hAnsi="仿宋" w:eastAsia="仿宋" w:cs="仿宋"/>
          <w:b/>
          <w:color w:val="000000" w:themeColor="text1"/>
          <w:kern w:val="0"/>
          <w:sz w:val="32"/>
          <w:szCs w:val="32"/>
          <w:lang w:val="en-US" w:eastAsia="zh-CN"/>
          <w14:textFill>
            <w14:solidFill>
              <w14:schemeClr w14:val="tx1"/>
            </w14:solidFill>
          </w14:textFill>
        </w:rPr>
        <w:t>六</w:t>
      </w:r>
      <w:r>
        <w:rPr>
          <w:rFonts w:hint="eastAsia" w:ascii="仿宋" w:hAnsi="仿宋" w:eastAsia="仿宋" w:cs="仿宋"/>
          <w:b/>
          <w:color w:val="000000" w:themeColor="text1"/>
          <w:kern w:val="0"/>
          <w:sz w:val="32"/>
          <w:szCs w:val="32"/>
          <w14:textFill>
            <w14:solidFill>
              <w14:schemeClr w14:val="tx1"/>
            </w14:solidFill>
          </w14:textFill>
        </w:rPr>
        <w:t>条</w:t>
      </w:r>
      <w:r>
        <w:rPr>
          <w:rFonts w:hint="eastAsia" w:ascii="仿宋" w:hAnsi="仿宋" w:eastAsia="仿宋" w:cs="仿宋"/>
          <w:color w:val="000000" w:themeColor="text1"/>
          <w:kern w:val="0"/>
          <w:sz w:val="32"/>
          <w:szCs w:val="32"/>
          <w14:textFill>
            <w14:solidFill>
              <w14:schemeClr w14:val="tx1"/>
            </w14:solidFill>
          </w14:textFill>
        </w:rPr>
        <w:t xml:space="preserve"> 申请人还需满足以下基本条件: </w:t>
      </w:r>
    </w:p>
    <w:p>
      <w:pPr>
        <w:spacing w:line="360" w:lineRule="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（一）热爱社会主义祖国，拥护</w:t>
      </w:r>
      <w:r>
        <w:rPr>
          <w:rFonts w:hint="eastAsia" w:ascii="仿宋" w:hAnsi="仿宋" w:eastAsia="仿宋" w:cs="仿宋"/>
          <w:color w:val="000000" w:themeColor="text1"/>
          <w:sz w:val="32"/>
          <w:szCs w:val="32"/>
          <w14:textFill>
            <w14:solidFill>
              <w14:schemeClr w14:val="tx1"/>
            </w14:solidFill>
          </w14:textFill>
        </w:rPr>
        <w:t xml:space="preserve">中国共产党的领导; </w:t>
      </w:r>
    </w:p>
    <w:p>
      <w:pPr>
        <w:spacing w:line="360" w:lineRule="auto"/>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（二）遵守宪法和法律，</w:t>
      </w:r>
      <w:r>
        <w:rPr>
          <w:rFonts w:hint="eastAsia" w:ascii="仿宋" w:hAnsi="仿宋" w:eastAsia="仿宋" w:cs="仿宋"/>
          <w:color w:val="000000" w:themeColor="text1"/>
          <w:kern w:val="0"/>
          <w:sz w:val="32"/>
          <w:szCs w:val="32"/>
          <w14:textFill>
            <w14:solidFill>
              <w14:schemeClr w14:val="tx1"/>
            </w14:solidFill>
          </w14:textFill>
        </w:rPr>
        <w:t>遵守</w:t>
      </w:r>
      <w:r>
        <w:rPr>
          <w:rFonts w:hint="eastAsia" w:ascii="仿宋" w:hAnsi="仿宋" w:eastAsia="仿宋" w:cs="仿宋"/>
          <w:color w:val="000000" w:themeColor="text1"/>
          <w:sz w:val="32"/>
          <w:szCs w:val="32"/>
          <w14:textFill>
            <w14:solidFill>
              <w14:schemeClr w14:val="tx1"/>
            </w14:solidFill>
          </w14:textFill>
        </w:rPr>
        <w:t>学校规章制</w:t>
      </w:r>
      <w:r>
        <w:rPr>
          <w:rFonts w:hint="eastAsia" w:ascii="仿宋" w:hAnsi="仿宋" w:eastAsia="仿宋" w:cs="仿宋"/>
          <w:color w:val="000000" w:themeColor="text1"/>
          <w:kern w:val="0"/>
          <w:sz w:val="32"/>
          <w:szCs w:val="32"/>
          <w14:textFill>
            <w14:solidFill>
              <w14:schemeClr w14:val="tx1"/>
            </w14:solidFill>
          </w14:textFill>
        </w:rPr>
        <w:t>度;</w:t>
      </w:r>
    </w:p>
    <w:p>
      <w:pPr>
        <w:keepNext w:val="0"/>
        <w:keepLines w:val="0"/>
        <w:pageBreakBefore w:val="0"/>
        <w:widowControl w:val="0"/>
        <w:kinsoku/>
        <w:wordWrap/>
        <w:overflowPunct/>
        <w:topLinePunct w:val="0"/>
        <w:autoSpaceDE/>
        <w:autoSpaceDN/>
        <w:bidi w:val="0"/>
        <w:spacing w:line="360" w:lineRule="auto"/>
        <w:ind w:firstLine="641"/>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（三）诚实守信，道德品质优良;</w:t>
      </w:r>
    </w:p>
    <w:p>
      <w:pPr>
        <w:keepNext w:val="0"/>
        <w:keepLines w:val="0"/>
        <w:pageBreakBefore w:val="0"/>
        <w:widowControl w:val="0"/>
        <w:kinsoku/>
        <w:wordWrap/>
        <w:overflowPunct/>
        <w:topLinePunct w:val="0"/>
        <w:autoSpaceDE/>
        <w:autoSpaceDN/>
        <w:bidi w:val="0"/>
        <w:spacing w:line="360" w:lineRule="auto"/>
        <w:ind w:firstLine="641"/>
        <w:textAlignment w:val="auto"/>
        <w:rPr>
          <w:rFonts w:hint="eastAsia" w:ascii="仿宋" w:hAnsi="仿宋" w:eastAsia="仿宋" w:cs="仿宋"/>
          <w:color w:val="000000" w:themeColor="text1"/>
          <w:kern w:val="0"/>
          <w:sz w:val="32"/>
          <w:szCs w:val="32"/>
          <w:highlight w:val="none"/>
          <w14:textFill>
            <w14:solidFill>
              <w14:schemeClr w14:val="tx1"/>
            </w14:solidFill>
          </w14:textFill>
        </w:rPr>
      </w:pPr>
      <w:r>
        <w:rPr>
          <w:rFonts w:hint="eastAsia" w:ascii="仿宋" w:hAnsi="仿宋" w:eastAsia="仿宋" w:cs="仿宋"/>
          <w:color w:val="000000" w:themeColor="text1"/>
          <w:kern w:val="0"/>
          <w:sz w:val="32"/>
          <w:szCs w:val="32"/>
          <w:highlight w:val="none"/>
          <w14:textFill>
            <w14:solidFill>
              <w14:schemeClr w14:val="tx1"/>
            </w14:solidFill>
          </w14:textFill>
        </w:rPr>
        <w:t>（</w:t>
      </w: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四</w:t>
      </w:r>
      <w:r>
        <w:rPr>
          <w:rFonts w:hint="eastAsia" w:ascii="仿宋" w:hAnsi="仿宋" w:eastAsia="仿宋" w:cs="仿宋"/>
          <w:color w:val="000000" w:themeColor="text1"/>
          <w:kern w:val="0"/>
          <w:sz w:val="32"/>
          <w:szCs w:val="32"/>
          <w:highlight w:val="none"/>
          <w14:textFill>
            <w14:solidFill>
              <w14:schemeClr w14:val="tx1"/>
            </w14:solidFill>
          </w14:textFill>
        </w:rPr>
        <w:t>）学习成绩优异，科研能力显著，发展潜力突出；</w:t>
      </w:r>
    </w:p>
    <w:p>
      <w:pPr>
        <w:keepNext w:val="0"/>
        <w:keepLines w:val="0"/>
        <w:pageBreakBefore w:val="0"/>
        <w:widowControl w:val="0"/>
        <w:kinsoku/>
        <w:wordWrap/>
        <w:overflowPunct/>
        <w:topLinePunct w:val="0"/>
        <w:autoSpaceDE/>
        <w:autoSpaceDN/>
        <w:bidi w:val="0"/>
        <w:spacing w:line="240" w:lineRule="auto"/>
        <w:ind w:firstLine="641"/>
        <w:textAlignment w:val="auto"/>
        <w:rPr>
          <w:rFonts w:hint="eastAsia" w:ascii="仿宋" w:hAnsi="仿宋" w:eastAsia="仿宋" w:cs="仿宋"/>
          <w:color w:val="000000" w:themeColor="text1"/>
          <w:kern w:val="0"/>
          <w:sz w:val="32"/>
          <w:szCs w:val="32"/>
          <w:highlight w:val="none"/>
          <w:lang w:eastAsia="zh-CN"/>
          <w14:textFill>
            <w14:solidFill>
              <w14:schemeClr w14:val="tx1"/>
            </w14:solidFill>
          </w14:textFill>
        </w:rPr>
      </w:pPr>
      <w:r>
        <w:rPr>
          <w:rFonts w:hint="eastAsia" w:ascii="仿宋" w:hAnsi="仿宋" w:eastAsia="仿宋" w:cs="仿宋"/>
          <w:color w:val="000000" w:themeColor="text1"/>
          <w:kern w:val="0"/>
          <w:sz w:val="32"/>
          <w:szCs w:val="32"/>
          <w:highlight w:val="none"/>
          <w14:textFill>
            <w14:solidFill>
              <w14:schemeClr w14:val="tx1"/>
            </w14:solidFill>
          </w14:textFill>
        </w:rPr>
        <w:t>（</w:t>
      </w: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五</w:t>
      </w:r>
      <w:r>
        <w:rPr>
          <w:rFonts w:hint="eastAsia" w:ascii="仿宋" w:hAnsi="仿宋" w:eastAsia="仿宋" w:cs="仿宋"/>
          <w:color w:val="000000" w:themeColor="text1"/>
          <w:kern w:val="0"/>
          <w:sz w:val="32"/>
          <w:szCs w:val="32"/>
          <w:highlight w:val="none"/>
          <w14:textFill>
            <w14:solidFill>
              <w14:schemeClr w14:val="tx1"/>
            </w14:solidFill>
          </w14:textFill>
        </w:rPr>
        <w:t>）</w:t>
      </w: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积极发挥模范带头作用</w:t>
      </w:r>
      <w:r>
        <w:rPr>
          <w:rFonts w:hint="eastAsia" w:ascii="仿宋" w:hAnsi="仿宋" w:eastAsia="仿宋" w:cs="仿宋"/>
          <w:color w:val="000000" w:themeColor="text1"/>
          <w:kern w:val="0"/>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240" w:lineRule="auto"/>
        <w:ind w:firstLine="641"/>
        <w:textAlignment w:val="auto"/>
        <w:rPr>
          <w:rFonts w:hint="eastAsia" w:ascii="仿宋" w:hAnsi="仿宋" w:eastAsia="仿宋" w:cs="仿宋"/>
          <w:color w:val="000000" w:themeColor="text1"/>
          <w:kern w:val="0"/>
          <w:sz w:val="32"/>
          <w:szCs w:val="32"/>
          <w14:textFill>
            <w14:solidFill>
              <w14:schemeClr w14:val="tx1"/>
            </w14:solidFill>
          </w14:textFill>
        </w:rPr>
      </w:pPr>
    </w:p>
    <w:p>
      <w:pPr>
        <w:pStyle w:val="7"/>
        <w:adjustRightInd w:val="0"/>
        <w:snapToGrid w:val="0"/>
        <w:spacing w:before="0" w:beforeAutospacing="0" w:after="0" w:afterAutospacing="0" w:line="360" w:lineRule="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第</w:t>
      </w:r>
      <w:r>
        <w:rPr>
          <w:rFonts w:hint="eastAsia" w:ascii="仿宋" w:hAnsi="仿宋" w:eastAsia="仿宋" w:cs="仿宋"/>
          <w:b/>
          <w:color w:val="000000" w:themeColor="text1"/>
          <w:sz w:val="32"/>
          <w:szCs w:val="32"/>
          <w:lang w:val="en-US" w:eastAsia="zh-CN"/>
          <w14:textFill>
            <w14:solidFill>
              <w14:schemeClr w14:val="tx1"/>
            </w14:solidFill>
          </w14:textFill>
        </w:rPr>
        <w:t>七</w:t>
      </w:r>
      <w:r>
        <w:rPr>
          <w:rFonts w:hint="eastAsia" w:ascii="仿宋" w:hAnsi="仿宋" w:eastAsia="仿宋" w:cs="仿宋"/>
          <w:b/>
          <w:color w:val="000000" w:themeColor="text1"/>
          <w:sz w:val="32"/>
          <w:szCs w:val="32"/>
          <w14:textFill>
            <w14:solidFill>
              <w14:schemeClr w14:val="tx1"/>
            </w14:solidFill>
          </w14:textFill>
        </w:rPr>
        <w:t>条</w:t>
      </w:r>
      <w:r>
        <w:rPr>
          <w:rFonts w:hint="eastAsia" w:ascii="仿宋" w:hAnsi="仿宋" w:eastAsia="仿宋" w:cs="仿宋"/>
          <w:color w:val="000000" w:themeColor="text1"/>
          <w:sz w:val="32"/>
          <w:szCs w:val="32"/>
          <w14:textFill>
            <w14:solidFill>
              <w14:schemeClr w14:val="tx1"/>
            </w14:solidFill>
          </w14:textFill>
        </w:rPr>
        <w:t xml:space="preserve"> 申请人须达到以下学业、科研和社会服务的基本要求: </w:t>
      </w:r>
    </w:p>
    <w:p>
      <w:pPr>
        <w:spacing w:line="360" w:lineRule="auto"/>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（一）硕士生按照培养计划开展课程学习，且</w:t>
      </w:r>
      <w:r>
        <w:rPr>
          <w:rFonts w:ascii="仿宋" w:hAnsi="仿宋" w:eastAsia="仿宋" w:cs="仿宋"/>
          <w:color w:val="000000" w:themeColor="text1"/>
          <w:kern w:val="0"/>
          <w:sz w:val="32"/>
          <w:szCs w:val="32"/>
          <w14:textFill>
            <w14:solidFill>
              <w14:schemeClr w14:val="tx1"/>
            </w14:solidFill>
          </w14:textFill>
        </w:rPr>
        <w:t xml:space="preserve"> GPA 源课程绩点不低于3.3</w:t>
      </w:r>
      <w:r>
        <w:rPr>
          <w:rFonts w:hint="eastAsia" w:ascii="仿宋" w:hAnsi="仿宋" w:eastAsia="仿宋" w:cs="仿宋"/>
          <w:color w:val="000000" w:themeColor="text1"/>
          <w:kern w:val="0"/>
          <w:sz w:val="32"/>
          <w:szCs w:val="32"/>
          <w14:textFill>
            <w14:solidFill>
              <w14:schemeClr w14:val="tx1"/>
            </w14:solidFill>
          </w14:textFill>
        </w:rPr>
        <w:t>；</w:t>
      </w:r>
    </w:p>
    <w:p>
      <w:pPr>
        <w:spacing w:line="360" w:lineRule="auto"/>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（二）科研成果：重点应考虑有创新度的科研成果。</w:t>
      </w:r>
      <w:r>
        <w:rPr>
          <w:rFonts w:hint="eastAsia" w:ascii="仿宋" w:hAnsi="仿宋" w:eastAsia="仿宋" w:cs="仿宋"/>
          <w:color w:val="000000" w:themeColor="text1"/>
          <w:kern w:val="0"/>
          <w:sz w:val="32"/>
          <w:szCs w:val="32"/>
          <w:highlight w:val="none"/>
          <w14:textFill>
            <w14:solidFill>
              <w14:schemeClr w14:val="tx1"/>
            </w14:solidFill>
          </w14:textFill>
        </w:rPr>
        <w:t>当年度国家奖学金的科研成果认定时间见第</w:t>
      </w: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九</w:t>
      </w:r>
      <w:r>
        <w:rPr>
          <w:rFonts w:hint="eastAsia" w:ascii="仿宋" w:hAnsi="仿宋" w:eastAsia="仿宋" w:cs="仿宋"/>
          <w:color w:val="000000" w:themeColor="text1"/>
          <w:kern w:val="0"/>
          <w:sz w:val="32"/>
          <w:szCs w:val="32"/>
          <w:highlight w:val="none"/>
          <w14:textFill>
            <w14:solidFill>
              <w14:schemeClr w14:val="tx1"/>
            </w14:solidFill>
          </w14:textFill>
        </w:rPr>
        <w:t>条；</w:t>
      </w:r>
      <w:r>
        <w:rPr>
          <w:rFonts w:hint="eastAsia" w:ascii="仿宋" w:hAnsi="仿宋" w:eastAsia="仿宋" w:cs="仿宋"/>
          <w:color w:val="000000" w:themeColor="text1"/>
          <w:kern w:val="0"/>
          <w:sz w:val="32"/>
          <w:szCs w:val="32"/>
          <w14:textFill>
            <w14:solidFill>
              <w14:schemeClr w14:val="tx1"/>
            </w14:solidFill>
          </w14:textFill>
        </w:rPr>
        <w:t>原则上遵循“科研成果一次认定”的原则（凡之前作为材料提交并获评奖学金的科研成果，不得作为此次申报的科研成果；申请本年度研究生国家奖学金的研究生，若获评本奖项，则其本次申报的科研成果，不得再用于申请其他各类奖学金）；申请人评审年度内的论文、专利以及科技竞赛等科研成果，遵循“科研成果一次认定”的原则；</w:t>
      </w:r>
    </w:p>
    <w:p>
      <w:pPr>
        <w:adjustRightInd w:val="0"/>
        <w:snapToGrid w:val="0"/>
        <w:spacing w:after="100" w:afterAutospacing="1" w:line="360" w:lineRule="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三）社会服务：申请者需承担一定量的社会服务(包括：学院或导师指派的社会服务任务，学校委派的挂职锻炼，西部计划，班主任，辅导员及校级学生干部，其他)。社会服务记录由个人申报、导师认定，学院或学校相关职能单位</w:t>
      </w:r>
      <w:r>
        <w:rPr>
          <w:rFonts w:hint="eastAsia" w:ascii="仿宋" w:hAnsi="仿宋" w:eastAsia="仿宋" w:cs="仿宋"/>
          <w:color w:val="000000" w:themeColor="text1"/>
          <w:sz w:val="32"/>
          <w:szCs w:val="32"/>
          <w14:textFill>
            <w14:solidFill>
              <w14:schemeClr w14:val="tx1"/>
            </w14:solidFill>
          </w14:textFill>
        </w:rPr>
        <w:t>审定。</w:t>
      </w:r>
    </w:p>
    <w:p>
      <w:pPr>
        <w:adjustRightInd w:val="0"/>
        <w:spacing w:line="360" w:lineRule="auto"/>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第</w:t>
      </w:r>
      <w:r>
        <w:rPr>
          <w:rFonts w:hint="eastAsia" w:ascii="仿宋" w:hAnsi="仿宋" w:eastAsia="仿宋" w:cs="仿宋"/>
          <w:b/>
          <w:bCs/>
          <w:color w:val="000000" w:themeColor="text1"/>
          <w:sz w:val="32"/>
          <w:szCs w:val="32"/>
          <w:lang w:val="en-US" w:eastAsia="zh-CN"/>
          <w14:textFill>
            <w14:solidFill>
              <w14:schemeClr w14:val="tx1"/>
            </w14:solidFill>
          </w14:textFill>
        </w:rPr>
        <w:t>八</w:t>
      </w:r>
      <w:r>
        <w:rPr>
          <w:rFonts w:hint="eastAsia" w:ascii="仿宋" w:hAnsi="仿宋" w:eastAsia="仿宋" w:cs="仿宋"/>
          <w:b/>
          <w:bCs/>
          <w:color w:val="000000" w:themeColor="text1"/>
          <w:sz w:val="32"/>
          <w:szCs w:val="32"/>
          <w14:textFill>
            <w14:solidFill>
              <w14:schemeClr w14:val="tx1"/>
            </w14:solidFill>
          </w14:textFill>
        </w:rPr>
        <w:t>条</w:t>
      </w:r>
      <w:r>
        <w:rPr>
          <w:rFonts w:hint="eastAsia" w:ascii="仿宋" w:hAnsi="仿宋" w:eastAsia="仿宋" w:cs="仿宋"/>
          <w:color w:val="000000" w:themeColor="text1"/>
          <w:kern w:val="0"/>
          <w:sz w:val="32"/>
          <w:szCs w:val="32"/>
          <w14:textFill>
            <w14:solidFill>
              <w14:schemeClr w14:val="tx1"/>
            </w14:solidFill>
          </w14:textFill>
        </w:rPr>
        <w:t xml:space="preserve"> 有下列情况之一者不具备申请资格:</w:t>
      </w:r>
    </w:p>
    <w:p>
      <w:pPr>
        <w:adjustRightInd w:val="0"/>
        <w:spacing w:line="360" w:lineRule="auto"/>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xml:space="preserve">　　（一）在校期间受到过违纪处分且尚未解除; </w:t>
      </w:r>
    </w:p>
    <w:p>
      <w:pPr>
        <w:spacing w:line="360" w:lineRule="auto"/>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xml:space="preserve">　　（二）参评学年内受到各类处分或院校通报批评; </w:t>
      </w:r>
    </w:p>
    <w:p>
      <w:pPr>
        <w:spacing w:line="360" w:lineRule="auto"/>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xml:space="preserve">　　（三）参评学年内违反学校学业诚信守则; </w:t>
      </w:r>
    </w:p>
    <w:p>
      <w:pPr>
        <w:spacing w:line="360" w:lineRule="auto"/>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xml:space="preserve">　　（四）参评学年内学籍状态处于休学、保留学籍者（因国家公派出国留学或校际交流在境外学习的学生除外）; </w:t>
      </w:r>
    </w:p>
    <w:p>
      <w:pPr>
        <w:spacing w:line="360" w:lineRule="auto"/>
        <w:ind w:firstLine="640" w:firstLineChars="20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xml:space="preserve">（五）评审年度内有课程不及格(包括 GPA 源课程和非 GPA 源课程); </w:t>
      </w:r>
    </w:p>
    <w:p>
      <w:pPr>
        <w:spacing w:line="360" w:lineRule="auto"/>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（六）超出学制期限基本修业年限的研究生，不再具备研究生国家奖学金参评资格；</w:t>
      </w:r>
    </w:p>
    <w:p>
      <w:pPr>
        <w:widowControl/>
        <w:spacing w:line="360" w:lineRule="auto"/>
        <w:ind w:firstLine="640" w:firstLineChars="200"/>
        <w:jc w:val="left"/>
        <w:rPr>
          <w:rFonts w:ascii="仿宋" w:hAnsi="仿宋" w:eastAsia="仿宋" w:cs="仿宋"/>
          <w:color w:val="000000" w:themeColor="text1"/>
          <w:kern w:val="0"/>
          <w:sz w:val="32"/>
          <w:szCs w:val="32"/>
          <w:highlight w:val="none"/>
          <w14:textFill>
            <w14:solidFill>
              <w14:schemeClr w14:val="tx1"/>
            </w14:solidFill>
          </w14:textFill>
        </w:rPr>
      </w:pPr>
      <w:r>
        <w:rPr>
          <w:rFonts w:hint="eastAsia" w:ascii="仿宋" w:hAnsi="仿宋" w:eastAsia="仿宋" w:cs="仿宋"/>
          <w:color w:val="000000" w:themeColor="text1"/>
          <w:kern w:val="0"/>
          <w:sz w:val="32"/>
          <w:szCs w:val="32"/>
          <w:highlight w:val="none"/>
          <w14:textFill>
            <w14:solidFill>
              <w14:schemeClr w14:val="tx1"/>
            </w14:solidFill>
          </w14:textFill>
        </w:rPr>
        <w:t>（七）无故不参加奖学金颁奖仪式</w:t>
      </w: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等相关活动</w:t>
      </w:r>
      <w:r>
        <w:rPr>
          <w:rFonts w:hint="eastAsia" w:ascii="仿宋" w:hAnsi="仿宋" w:eastAsia="仿宋" w:cs="仿宋"/>
          <w:color w:val="000000" w:themeColor="text1"/>
          <w:kern w:val="0"/>
          <w:sz w:val="32"/>
          <w:szCs w:val="32"/>
          <w:highlight w:val="none"/>
          <w14:textFill>
            <w14:solidFill>
              <w14:schemeClr w14:val="tx1"/>
            </w14:solidFill>
          </w14:textFill>
        </w:rPr>
        <w:t>或有违背奖学金协议内容的行为者；</w:t>
      </w:r>
    </w:p>
    <w:p>
      <w:pPr>
        <w:widowControl/>
        <w:spacing w:line="240" w:lineRule="auto"/>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（八）其他应取消</w:t>
      </w:r>
      <w:r>
        <w:rPr>
          <w:rFonts w:hint="eastAsia" w:ascii="仿宋" w:hAnsi="仿宋" w:eastAsia="仿宋" w:cs="仿宋"/>
          <w:sz w:val="32"/>
          <w:szCs w:val="32"/>
        </w:rPr>
        <w:t>申请</w:t>
      </w:r>
      <w:r>
        <w:rPr>
          <w:rFonts w:hint="eastAsia" w:ascii="仿宋" w:hAnsi="仿宋" w:eastAsia="仿宋" w:cs="仿宋"/>
          <w:color w:val="000000"/>
          <w:sz w:val="32"/>
          <w:szCs w:val="32"/>
        </w:rPr>
        <w:t>资格的情况。</w:t>
      </w:r>
    </w:p>
    <w:p>
      <w:pPr>
        <w:widowControl/>
        <w:spacing w:line="240" w:lineRule="auto"/>
        <w:ind w:firstLine="640" w:firstLineChars="200"/>
        <w:jc w:val="left"/>
        <w:rPr>
          <w:rFonts w:hint="eastAsia" w:ascii="仿宋" w:hAnsi="仿宋" w:eastAsia="仿宋" w:cs="仿宋"/>
          <w:color w:val="000000"/>
          <w:sz w:val="32"/>
          <w:szCs w:val="32"/>
        </w:rPr>
      </w:pPr>
    </w:p>
    <w:p>
      <w:pPr>
        <w:spacing w:line="360" w:lineRule="auto"/>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b/>
          <w:color w:val="000000" w:themeColor="text1"/>
          <w:kern w:val="0"/>
          <w:sz w:val="32"/>
          <w:szCs w:val="32"/>
          <w14:textFill>
            <w14:solidFill>
              <w14:schemeClr w14:val="tx1"/>
            </w14:solidFill>
          </w14:textFill>
        </w:rPr>
        <w:t>第</w:t>
      </w:r>
      <w:r>
        <w:rPr>
          <w:rFonts w:hint="eastAsia" w:ascii="仿宋" w:hAnsi="仿宋" w:eastAsia="仿宋" w:cs="仿宋"/>
          <w:b/>
          <w:color w:val="000000" w:themeColor="text1"/>
          <w:kern w:val="0"/>
          <w:sz w:val="32"/>
          <w:szCs w:val="32"/>
          <w:lang w:val="en-US" w:eastAsia="zh-CN"/>
          <w14:textFill>
            <w14:solidFill>
              <w14:schemeClr w14:val="tx1"/>
            </w14:solidFill>
          </w14:textFill>
        </w:rPr>
        <w:t>九</w:t>
      </w:r>
      <w:r>
        <w:rPr>
          <w:rFonts w:hint="eastAsia" w:ascii="仿宋" w:hAnsi="仿宋" w:eastAsia="仿宋" w:cs="仿宋"/>
          <w:b/>
          <w:color w:val="000000" w:themeColor="text1"/>
          <w:kern w:val="0"/>
          <w:sz w:val="32"/>
          <w:szCs w:val="32"/>
          <w14:textFill>
            <w14:solidFill>
              <w14:schemeClr w14:val="tx1"/>
            </w14:solidFill>
          </w14:textFill>
        </w:rPr>
        <w:t>条</w:t>
      </w:r>
      <w:r>
        <w:rPr>
          <w:rFonts w:hint="eastAsia" w:ascii="仿宋" w:hAnsi="仿宋" w:eastAsia="仿宋" w:cs="仿宋"/>
          <w:color w:val="000000" w:themeColor="text1"/>
          <w:kern w:val="0"/>
          <w:sz w:val="32"/>
          <w:szCs w:val="32"/>
          <w14:textFill>
            <w14:solidFill>
              <w14:schemeClr w14:val="tx1"/>
            </w14:solidFill>
          </w14:textFill>
        </w:rPr>
        <w:t xml:space="preserve"> 评审年度</w:t>
      </w:r>
    </w:p>
    <w:p>
      <w:pPr>
        <w:adjustRightInd w:val="0"/>
        <w:snapToGrid w:val="0"/>
        <w:spacing w:after="100" w:afterAutospacing="1" w:line="360" w:lineRule="auto"/>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该奖学金的评审年度为上一年的9月1日至本年的8月31日。</w:t>
      </w:r>
    </w:p>
    <w:p>
      <w:pPr>
        <w:spacing w:line="360" w:lineRule="auto"/>
        <w:rPr>
          <w:rFonts w:ascii="仿宋" w:hAnsi="仿宋" w:eastAsia="仿宋" w:cs="仿宋"/>
          <w:b/>
          <w:sz w:val="32"/>
          <w:szCs w:val="32"/>
        </w:rPr>
      </w:pPr>
      <w:r>
        <w:rPr>
          <w:rFonts w:hint="eastAsia" w:ascii="仿宋" w:hAnsi="仿宋" w:eastAsia="仿宋" w:cs="仿宋"/>
          <w:b/>
          <w:color w:val="000000" w:themeColor="text1"/>
          <w:kern w:val="0"/>
          <w:sz w:val="32"/>
          <w:szCs w:val="32"/>
          <w14:textFill>
            <w14:solidFill>
              <w14:schemeClr w14:val="tx1"/>
            </w14:solidFill>
          </w14:textFill>
        </w:rPr>
        <w:t xml:space="preserve">第十条 </w:t>
      </w:r>
      <w:r>
        <w:rPr>
          <w:rFonts w:hint="eastAsia" w:ascii="仿宋" w:hAnsi="仿宋" w:eastAsia="仿宋" w:cs="仿宋"/>
          <w:color w:val="000000" w:themeColor="text1"/>
          <w:kern w:val="0"/>
          <w:sz w:val="32"/>
          <w:szCs w:val="32"/>
          <w14:textFill>
            <w14:solidFill>
              <w14:schemeClr w14:val="tx1"/>
            </w14:solidFill>
          </w14:textFill>
        </w:rPr>
        <w:t>申报名额和奖励金额</w:t>
      </w:r>
    </w:p>
    <w:p>
      <w:pPr>
        <w:spacing w:after="100" w:afterAutospacing="1" w:line="360" w:lineRule="auto"/>
        <w:ind w:firstLine="640"/>
        <w:rPr>
          <w:rFonts w:hint="eastAsia" w:ascii="仿宋" w:hAnsi="仿宋" w:eastAsia="仿宋" w:cs="仿宋"/>
          <w:sz w:val="32"/>
          <w:szCs w:val="32"/>
        </w:rPr>
      </w:pPr>
      <w:r>
        <w:rPr>
          <w:rFonts w:hint="eastAsia" w:ascii="仿宋" w:hAnsi="仿宋" w:eastAsia="仿宋" w:cs="仿宋"/>
          <w:sz w:val="32"/>
          <w:szCs w:val="32"/>
        </w:rPr>
        <w:t>该奖学金奖励金额、名额由学校于每年下达至学院。</w:t>
      </w:r>
    </w:p>
    <w:p>
      <w:pPr>
        <w:widowControl/>
        <w:adjustRightInd w:val="0"/>
        <w:snapToGrid w:val="0"/>
        <w:spacing w:before="100" w:beforeAutospacing="1" w:after="100" w:afterAutospacing="1" w:line="360" w:lineRule="auto"/>
        <w:jc w:val="center"/>
        <w:rPr>
          <w:rFonts w:ascii="仿宋" w:hAnsi="仿宋" w:eastAsia="仿宋" w:cs="仿宋"/>
          <w:b/>
          <w:color w:val="000000" w:themeColor="text1"/>
          <w:kern w:val="0"/>
          <w:sz w:val="32"/>
          <w:szCs w:val="32"/>
          <w14:textFill>
            <w14:solidFill>
              <w14:schemeClr w14:val="tx1"/>
            </w14:solidFill>
          </w14:textFill>
        </w:rPr>
      </w:pPr>
      <w:r>
        <w:rPr>
          <w:rFonts w:hint="eastAsia" w:ascii="仿宋" w:hAnsi="仿宋" w:eastAsia="仿宋" w:cs="仿宋"/>
          <w:b/>
          <w:color w:val="000000" w:themeColor="text1"/>
          <w:kern w:val="0"/>
          <w:sz w:val="32"/>
          <w:szCs w:val="32"/>
          <w14:textFill>
            <w14:solidFill>
              <w14:schemeClr w14:val="tx1"/>
            </w14:solidFill>
          </w14:textFill>
        </w:rPr>
        <w:t>第四章 评选流程</w:t>
      </w:r>
    </w:p>
    <w:p>
      <w:pPr>
        <w:widowControl/>
        <w:adjustRightInd w:val="0"/>
        <w:snapToGrid w:val="0"/>
        <w:spacing w:line="360" w:lineRule="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color w:val="000000" w:themeColor="text1"/>
          <w:kern w:val="0"/>
          <w:sz w:val="32"/>
          <w:szCs w:val="32"/>
          <w14:textFill>
            <w14:solidFill>
              <w14:schemeClr w14:val="tx1"/>
            </w14:solidFill>
          </w14:textFill>
        </w:rPr>
        <w:t>第十</w:t>
      </w:r>
      <w:r>
        <w:rPr>
          <w:rFonts w:hint="eastAsia" w:ascii="仿宋" w:hAnsi="仿宋" w:eastAsia="仿宋" w:cs="仿宋"/>
          <w:b/>
          <w:color w:val="000000" w:themeColor="text1"/>
          <w:kern w:val="0"/>
          <w:sz w:val="32"/>
          <w:szCs w:val="32"/>
          <w:lang w:val="en-US" w:eastAsia="zh-CN"/>
          <w14:textFill>
            <w14:solidFill>
              <w14:schemeClr w14:val="tx1"/>
            </w14:solidFill>
          </w14:textFill>
        </w:rPr>
        <w:t>一</w:t>
      </w:r>
      <w:r>
        <w:rPr>
          <w:rFonts w:hint="eastAsia" w:ascii="仿宋" w:hAnsi="仿宋" w:eastAsia="仿宋" w:cs="仿宋"/>
          <w:b/>
          <w:color w:val="000000" w:themeColor="text1"/>
          <w:kern w:val="0"/>
          <w:sz w:val="32"/>
          <w:szCs w:val="32"/>
          <w14:textFill>
            <w14:solidFill>
              <w14:schemeClr w14:val="tx1"/>
            </w14:solidFill>
          </w14:textFill>
        </w:rPr>
        <w:t>条</w:t>
      </w:r>
      <w:r>
        <w:rPr>
          <w:rFonts w:hint="eastAsia" w:ascii="仿宋" w:hAnsi="仿宋" w:eastAsia="仿宋" w:cs="仿宋"/>
          <w:color w:val="000000" w:themeColor="text1"/>
          <w:kern w:val="0"/>
          <w:sz w:val="32"/>
          <w:szCs w:val="32"/>
          <w14:textFill>
            <w14:solidFill>
              <w14:schemeClr w14:val="tx1"/>
            </w14:solidFill>
          </w14:textFill>
        </w:rPr>
        <w:t xml:space="preserve"> 评选流程如下: </w:t>
      </w:r>
    </w:p>
    <w:p>
      <w:pPr>
        <w:widowControl/>
        <w:adjustRightInd w:val="0"/>
        <w:snapToGrid w:val="0"/>
        <w:spacing w:line="360" w:lineRule="auto"/>
        <w:ind w:firstLine="640" w:firstLineChars="20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评选采用个人自主申请、学院初审和学院复评的评选方式，即申请人自行申请并提供相应证明、提交申报材料、经学院初审后，学院根据当年申报情况择优开展复评。学院复评后名单经公示，交由学校有关部门审核。</w:t>
      </w:r>
      <w:r>
        <w:rPr>
          <w:rFonts w:hint="eastAsia" w:ascii="仿宋" w:hAnsi="仿宋" w:eastAsia="仿宋" w:cs="仿宋"/>
          <w:color w:val="000000" w:themeColor="text1"/>
          <w:kern w:val="0"/>
          <w:sz w:val="32"/>
          <w:szCs w:val="32"/>
          <w:highlight w:val="none"/>
          <w14:textFill>
            <w14:solidFill>
              <w14:schemeClr w14:val="tx1"/>
            </w14:solidFill>
          </w14:textFill>
        </w:rPr>
        <w:t>初</w:t>
      </w:r>
      <w:r>
        <w:rPr>
          <w:rFonts w:hint="eastAsia" w:ascii="仿宋" w:hAnsi="仿宋" w:eastAsia="仿宋" w:cs="仿宋"/>
          <w:color w:val="000000" w:themeColor="text1"/>
          <w:kern w:val="0"/>
          <w:sz w:val="32"/>
          <w:szCs w:val="32"/>
          <w:lang w:val="en-US" w:eastAsia="zh-CN"/>
          <w14:textFill>
            <w14:solidFill>
              <w14:schemeClr w14:val="tx1"/>
            </w14:solidFill>
          </w14:textFill>
        </w:rPr>
        <w:t>审</w:t>
      </w:r>
      <w:r>
        <w:rPr>
          <w:rFonts w:hint="eastAsia" w:ascii="仿宋" w:hAnsi="仿宋" w:eastAsia="仿宋" w:cs="仿宋"/>
          <w:color w:val="000000" w:themeColor="text1"/>
          <w:kern w:val="0"/>
          <w:sz w:val="32"/>
          <w:szCs w:val="32"/>
          <w14:textFill>
            <w14:solidFill>
              <w14:schemeClr w14:val="tx1"/>
            </w14:solidFill>
          </w14:textFill>
        </w:rPr>
        <w:t>自评分请参考《上海交通大学巴黎卓越工程师学院研究生奖学金自评分办法》；</w:t>
      </w:r>
    </w:p>
    <w:p>
      <w:pPr>
        <w:widowControl/>
        <w:adjustRightInd w:val="0"/>
        <w:snapToGrid w:val="0"/>
        <w:spacing w:line="360" w:lineRule="auto"/>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w:t>
      </w:r>
      <w:r>
        <w:rPr>
          <w:rFonts w:hint="eastAsia" w:ascii="仿宋" w:hAnsi="仿宋" w:eastAsia="仿宋" w:cs="仿宋"/>
          <w:color w:val="000000" w:themeColor="text1"/>
          <w:kern w:val="0"/>
          <w:sz w:val="32"/>
          <w:szCs w:val="32"/>
          <w:lang w:val="en-US" w:eastAsia="zh-CN"/>
          <w14:textFill>
            <w14:solidFill>
              <w14:schemeClr w14:val="tx1"/>
            </w14:solidFill>
          </w14:textFill>
        </w:rPr>
        <w:t>二</w:t>
      </w:r>
      <w:r>
        <w:rPr>
          <w:rFonts w:hint="eastAsia" w:ascii="仿宋" w:hAnsi="仿宋" w:eastAsia="仿宋" w:cs="仿宋"/>
          <w:color w:val="000000" w:themeColor="text1"/>
          <w:kern w:val="0"/>
          <w:sz w:val="32"/>
          <w:szCs w:val="32"/>
          <w14:textFill>
            <w14:solidFill>
              <w14:schemeClr w14:val="tx1"/>
            </w14:solidFill>
          </w14:textFill>
        </w:rPr>
        <w:t>）申请材料弄虚作假者一经发现，经学院诚信委员会讨论，取消相关评奖资格，并依据校纪校规给予处分。学院评审后，获推荐同学按学校要求提交相关材料；</w:t>
      </w:r>
    </w:p>
    <w:p>
      <w:pPr>
        <w:tabs>
          <w:tab w:val="left" w:pos="540"/>
        </w:tabs>
        <w:spacing w:after="100" w:afterAutospacing="1" w:line="360" w:lineRule="auto"/>
        <w:jc w:val="left"/>
        <w:rPr>
          <w:color w:val="000000"/>
        </w:rPr>
      </w:pPr>
      <w:r>
        <w:rPr>
          <w:rFonts w:hint="eastAsia" w:ascii="仿宋" w:hAnsi="仿宋" w:eastAsia="仿宋" w:cs="仿宋"/>
          <w:color w:val="000000" w:themeColor="text1"/>
          <w:kern w:val="0"/>
          <w:sz w:val="32"/>
          <w:szCs w:val="32"/>
          <w14:textFill>
            <w14:solidFill>
              <w14:schemeClr w14:val="tx1"/>
            </w14:solidFill>
          </w14:textFill>
        </w:rPr>
        <w:t>　　（</w:t>
      </w:r>
      <w:r>
        <w:rPr>
          <w:rFonts w:hint="eastAsia" w:ascii="仿宋" w:hAnsi="仿宋" w:eastAsia="仿宋" w:cs="仿宋"/>
          <w:color w:val="000000" w:themeColor="text1"/>
          <w:kern w:val="0"/>
          <w:sz w:val="32"/>
          <w:szCs w:val="32"/>
          <w:lang w:val="en-US" w:eastAsia="zh-CN"/>
          <w14:textFill>
            <w14:solidFill>
              <w14:schemeClr w14:val="tx1"/>
            </w14:solidFill>
          </w14:textFill>
        </w:rPr>
        <w:t>三</w:t>
      </w:r>
      <w:r>
        <w:rPr>
          <w:rFonts w:hint="eastAsia" w:ascii="仿宋" w:hAnsi="仿宋" w:eastAsia="仿宋" w:cs="仿宋"/>
          <w:color w:val="000000" w:themeColor="text1"/>
          <w:kern w:val="0"/>
          <w:sz w:val="32"/>
          <w:szCs w:val="32"/>
          <w14:textFill>
            <w14:solidFill>
              <w14:schemeClr w14:val="tx1"/>
            </w14:solidFill>
          </w14:textFill>
        </w:rPr>
        <w:t>）对评审结果有异议的学生，可在学院公示阶段向学院评审委员会提出申诉，评审委员会应及时研究并予以答复。如学生对学院做出的答复仍存在异议，可在学校公示阶段向学校评审领导小组提请裁决。</w:t>
      </w:r>
    </w:p>
    <w:p>
      <w:pPr>
        <w:widowControl/>
        <w:adjustRightInd w:val="0"/>
        <w:snapToGrid w:val="0"/>
        <w:spacing w:before="100" w:beforeAutospacing="1" w:after="100" w:afterAutospacing="1" w:line="360" w:lineRule="auto"/>
        <w:jc w:val="center"/>
        <w:rPr>
          <w:rFonts w:ascii="仿宋" w:hAnsi="仿宋" w:eastAsia="仿宋" w:cs="仿宋"/>
          <w:b/>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xml:space="preserve"> </w:t>
      </w:r>
      <w:r>
        <w:rPr>
          <w:rFonts w:hint="eastAsia" w:ascii="仿宋" w:hAnsi="仿宋" w:eastAsia="仿宋" w:cs="仿宋"/>
          <w:b/>
          <w:color w:val="000000" w:themeColor="text1"/>
          <w:kern w:val="0"/>
          <w:sz w:val="32"/>
          <w:szCs w:val="32"/>
          <w14:textFill>
            <w14:solidFill>
              <w14:schemeClr w14:val="tx1"/>
            </w14:solidFill>
          </w14:textFill>
        </w:rPr>
        <w:t>第五章 附则</w:t>
      </w:r>
    </w:p>
    <w:p>
      <w:pPr>
        <w:widowControl/>
        <w:adjustRightInd w:val="0"/>
        <w:snapToGrid w:val="0"/>
        <w:spacing w:after="100" w:afterAutospacing="1" w:line="360" w:lineRule="auto"/>
        <w:rPr>
          <w:rFonts w:ascii="仿宋" w:hAnsi="仿宋" w:eastAsia="仿宋" w:cs="仿宋"/>
          <w:bCs/>
          <w:sz w:val="32"/>
          <w:szCs w:val="32"/>
        </w:rPr>
      </w:pPr>
      <w:r>
        <w:rPr>
          <w:rFonts w:hint="eastAsia" w:ascii="仿宋" w:hAnsi="仿宋" w:eastAsia="仿宋" w:cs="仿宋"/>
          <w:b/>
          <w:color w:val="000000" w:themeColor="text1"/>
          <w:kern w:val="0"/>
          <w:sz w:val="32"/>
          <w:szCs w:val="32"/>
          <w14:textFill>
            <w14:solidFill>
              <w14:schemeClr w14:val="tx1"/>
            </w14:solidFill>
          </w14:textFill>
        </w:rPr>
        <w:t>第十</w:t>
      </w:r>
      <w:r>
        <w:rPr>
          <w:rFonts w:hint="eastAsia" w:ascii="仿宋" w:hAnsi="仿宋" w:eastAsia="仿宋" w:cs="仿宋"/>
          <w:b/>
          <w:color w:val="000000" w:themeColor="text1"/>
          <w:kern w:val="0"/>
          <w:sz w:val="32"/>
          <w:szCs w:val="32"/>
          <w:lang w:val="en-US" w:eastAsia="zh-CN"/>
          <w14:textFill>
            <w14:solidFill>
              <w14:schemeClr w14:val="tx1"/>
            </w14:solidFill>
          </w14:textFill>
        </w:rPr>
        <w:t>二</w:t>
      </w:r>
      <w:r>
        <w:rPr>
          <w:rFonts w:hint="eastAsia" w:ascii="仿宋" w:hAnsi="仿宋" w:eastAsia="仿宋" w:cs="仿宋"/>
          <w:b/>
          <w:color w:val="000000" w:themeColor="text1"/>
          <w:kern w:val="0"/>
          <w:sz w:val="32"/>
          <w:szCs w:val="32"/>
          <w14:textFill>
            <w14:solidFill>
              <w14:schemeClr w14:val="tx1"/>
            </w14:solidFill>
          </w14:textFill>
        </w:rPr>
        <w:t>条</w:t>
      </w:r>
      <w:r>
        <w:rPr>
          <w:rFonts w:hint="eastAsia" w:ascii="仿宋" w:hAnsi="仿宋" w:eastAsia="仿宋" w:cs="仿宋"/>
          <w:color w:val="000000" w:themeColor="text1"/>
          <w:kern w:val="0"/>
          <w:sz w:val="32"/>
          <w:szCs w:val="32"/>
          <w14:textFill>
            <w14:solidFill>
              <w14:schemeClr w14:val="tx1"/>
            </w14:solidFill>
          </w14:textFill>
        </w:rPr>
        <w:t xml:space="preserve"> </w:t>
      </w:r>
      <w:r>
        <w:rPr>
          <w:rFonts w:hint="eastAsia" w:ascii="仿宋" w:hAnsi="仿宋" w:eastAsia="仿宋" w:cs="仿宋"/>
          <w:bCs/>
          <w:sz w:val="32"/>
          <w:szCs w:val="32"/>
        </w:rPr>
        <w:t>奖学金不兼得以《上海交通大学巴黎卓越工程师学院奖学金评选不兼得原则》为准。</w:t>
      </w:r>
    </w:p>
    <w:p>
      <w:pPr>
        <w:widowControl/>
        <w:adjustRightInd w:val="0"/>
        <w:snapToGrid w:val="0"/>
        <w:spacing w:after="100" w:afterAutospacing="1" w:line="360" w:lineRule="auto"/>
        <w:rPr>
          <w:rFonts w:ascii="仿宋" w:hAnsi="仿宋" w:eastAsia="仿宋" w:cs="仿宋"/>
          <w:bCs/>
          <w:sz w:val="32"/>
          <w:szCs w:val="32"/>
        </w:rPr>
      </w:pPr>
      <w:r>
        <w:rPr>
          <w:rFonts w:hint="eastAsia" w:ascii="仿宋" w:hAnsi="仿宋" w:eastAsia="仿宋" w:cs="仿宋"/>
          <w:b/>
          <w:color w:val="000000" w:themeColor="text1"/>
          <w:kern w:val="0"/>
          <w:sz w:val="32"/>
          <w:szCs w:val="32"/>
          <w14:textFill>
            <w14:solidFill>
              <w14:schemeClr w14:val="tx1"/>
            </w14:solidFill>
          </w14:textFill>
        </w:rPr>
        <w:t>第十</w:t>
      </w:r>
      <w:r>
        <w:rPr>
          <w:rFonts w:hint="eastAsia" w:ascii="仿宋" w:hAnsi="仿宋" w:eastAsia="仿宋" w:cs="仿宋"/>
          <w:b/>
          <w:color w:val="000000" w:themeColor="text1"/>
          <w:kern w:val="0"/>
          <w:sz w:val="32"/>
          <w:szCs w:val="32"/>
          <w:lang w:val="en-US" w:eastAsia="zh-CN"/>
          <w14:textFill>
            <w14:solidFill>
              <w14:schemeClr w14:val="tx1"/>
            </w14:solidFill>
          </w14:textFill>
        </w:rPr>
        <w:t>三</w:t>
      </w:r>
      <w:r>
        <w:rPr>
          <w:rFonts w:hint="eastAsia" w:ascii="仿宋" w:hAnsi="仿宋" w:eastAsia="仿宋" w:cs="仿宋"/>
          <w:b/>
          <w:color w:val="000000" w:themeColor="text1"/>
          <w:kern w:val="0"/>
          <w:sz w:val="32"/>
          <w:szCs w:val="32"/>
          <w14:textFill>
            <w14:solidFill>
              <w14:schemeClr w14:val="tx1"/>
            </w14:solidFill>
          </w14:textFill>
        </w:rPr>
        <w:t>条</w:t>
      </w:r>
      <w:r>
        <w:rPr>
          <w:rFonts w:hint="eastAsia" w:ascii="仿宋" w:hAnsi="仿宋" w:eastAsia="仿宋" w:cs="仿宋"/>
          <w:color w:val="000000" w:themeColor="text1"/>
          <w:kern w:val="0"/>
          <w:sz w:val="32"/>
          <w:szCs w:val="32"/>
          <w14:textFill>
            <w14:solidFill>
              <w14:schemeClr w14:val="tx1"/>
            </w14:solidFill>
          </w14:textFill>
        </w:rPr>
        <w:t xml:space="preserve"> </w:t>
      </w:r>
      <w:r>
        <w:rPr>
          <w:rFonts w:hint="eastAsia" w:ascii="仿宋" w:hAnsi="仿宋" w:eastAsia="仿宋" w:cs="仿宋"/>
          <w:bCs/>
          <w:sz w:val="32"/>
          <w:szCs w:val="32"/>
        </w:rPr>
        <w:t>因各类奖学金设置发生变动或调整，均以当年最新规定为准。</w:t>
      </w:r>
    </w:p>
    <w:p>
      <w:pPr>
        <w:widowControl/>
        <w:adjustRightInd w:val="0"/>
        <w:snapToGrid w:val="0"/>
        <w:spacing w:after="100" w:afterAutospacing="1" w:line="360" w:lineRule="auto"/>
        <w:rPr>
          <w:rFonts w:ascii="仿宋" w:hAnsi="仿宋" w:eastAsia="仿宋" w:cs="仿宋"/>
          <w:bCs/>
          <w:sz w:val="32"/>
          <w:szCs w:val="32"/>
        </w:rPr>
      </w:pPr>
      <w:r>
        <w:rPr>
          <w:rFonts w:hint="eastAsia" w:ascii="仿宋" w:hAnsi="仿宋" w:eastAsia="仿宋" w:cs="仿宋"/>
          <w:b/>
          <w:color w:val="000000" w:themeColor="text1"/>
          <w:kern w:val="0"/>
          <w:sz w:val="32"/>
          <w:szCs w:val="32"/>
          <w14:textFill>
            <w14:solidFill>
              <w14:schemeClr w14:val="tx1"/>
            </w14:solidFill>
          </w14:textFill>
        </w:rPr>
        <w:t>第十</w:t>
      </w:r>
      <w:r>
        <w:rPr>
          <w:rFonts w:hint="eastAsia" w:ascii="仿宋" w:hAnsi="仿宋" w:eastAsia="仿宋" w:cs="仿宋"/>
          <w:b/>
          <w:color w:val="000000" w:themeColor="text1"/>
          <w:kern w:val="0"/>
          <w:sz w:val="32"/>
          <w:szCs w:val="32"/>
          <w:lang w:val="en-US" w:eastAsia="zh-CN"/>
          <w14:textFill>
            <w14:solidFill>
              <w14:schemeClr w14:val="tx1"/>
            </w14:solidFill>
          </w14:textFill>
        </w:rPr>
        <w:t>四</w:t>
      </w:r>
      <w:r>
        <w:rPr>
          <w:rFonts w:hint="eastAsia" w:ascii="仿宋" w:hAnsi="仿宋" w:eastAsia="仿宋" w:cs="仿宋"/>
          <w:b/>
          <w:color w:val="000000" w:themeColor="text1"/>
          <w:kern w:val="0"/>
          <w:sz w:val="32"/>
          <w:szCs w:val="32"/>
          <w14:textFill>
            <w14:solidFill>
              <w14:schemeClr w14:val="tx1"/>
            </w14:solidFill>
          </w14:textFill>
        </w:rPr>
        <w:t>条</w:t>
      </w:r>
      <w:r>
        <w:rPr>
          <w:rFonts w:hint="eastAsia" w:ascii="仿宋" w:hAnsi="仿宋" w:eastAsia="仿宋" w:cs="仿宋"/>
          <w:color w:val="000000" w:themeColor="text1"/>
          <w:kern w:val="0"/>
          <w:sz w:val="32"/>
          <w:szCs w:val="32"/>
          <w14:textFill>
            <w14:solidFill>
              <w14:schemeClr w14:val="tx1"/>
            </w14:solidFill>
          </w14:textFill>
        </w:rPr>
        <w:t xml:space="preserve"> </w:t>
      </w:r>
      <w:r>
        <w:rPr>
          <w:rFonts w:hint="eastAsia" w:ascii="仿宋" w:hAnsi="仿宋" w:eastAsia="仿宋" w:cs="仿宋"/>
          <w:bCs/>
          <w:sz w:val="32"/>
          <w:szCs w:val="32"/>
        </w:rPr>
        <w:t>该评审细则和操作办法均于评审前上报至上海交通大学学生处备案。</w:t>
      </w:r>
    </w:p>
    <w:p>
      <w:pPr>
        <w:widowControl/>
        <w:adjustRightInd w:val="0"/>
        <w:snapToGrid w:val="0"/>
        <w:spacing w:after="100" w:afterAutospacing="1" w:line="360" w:lineRule="auto"/>
        <w:rPr>
          <w:rFonts w:ascii="仿宋" w:hAnsi="仿宋" w:eastAsia="仿宋" w:cs="仿宋"/>
          <w:color w:val="000000"/>
          <w:kern w:val="0"/>
          <w:sz w:val="32"/>
          <w:szCs w:val="32"/>
        </w:rPr>
      </w:pPr>
      <w:r>
        <w:rPr>
          <w:rFonts w:hint="eastAsia" w:ascii="仿宋" w:hAnsi="仿宋" w:eastAsia="仿宋" w:cs="仿宋"/>
          <w:b/>
          <w:color w:val="000000" w:themeColor="text1"/>
          <w:kern w:val="0"/>
          <w:sz w:val="32"/>
          <w:szCs w:val="32"/>
          <w14:textFill>
            <w14:solidFill>
              <w14:schemeClr w14:val="tx1"/>
            </w14:solidFill>
          </w14:textFill>
        </w:rPr>
        <w:t>第十</w:t>
      </w:r>
      <w:r>
        <w:rPr>
          <w:rFonts w:hint="eastAsia" w:ascii="仿宋" w:hAnsi="仿宋" w:eastAsia="仿宋" w:cs="仿宋"/>
          <w:b/>
          <w:color w:val="000000" w:themeColor="text1"/>
          <w:kern w:val="0"/>
          <w:sz w:val="32"/>
          <w:szCs w:val="32"/>
          <w:lang w:val="en-US" w:eastAsia="zh-CN"/>
          <w14:textFill>
            <w14:solidFill>
              <w14:schemeClr w14:val="tx1"/>
            </w14:solidFill>
          </w14:textFill>
        </w:rPr>
        <w:t>五</w:t>
      </w:r>
      <w:r>
        <w:rPr>
          <w:rFonts w:hint="eastAsia" w:ascii="仿宋" w:hAnsi="仿宋" w:eastAsia="仿宋" w:cs="仿宋"/>
          <w:b/>
          <w:color w:val="000000" w:themeColor="text1"/>
          <w:kern w:val="0"/>
          <w:sz w:val="32"/>
          <w:szCs w:val="32"/>
          <w14:textFill>
            <w14:solidFill>
              <w14:schemeClr w14:val="tx1"/>
            </w14:solidFill>
          </w14:textFill>
        </w:rPr>
        <w:t>条</w:t>
      </w:r>
      <w:r>
        <w:rPr>
          <w:rFonts w:hint="eastAsia" w:ascii="仿宋" w:hAnsi="仿宋" w:eastAsia="仿宋" w:cs="仿宋"/>
          <w:color w:val="000000" w:themeColor="text1"/>
          <w:kern w:val="0"/>
          <w:sz w:val="32"/>
          <w:szCs w:val="32"/>
          <w14:textFill>
            <w14:solidFill>
              <w14:schemeClr w14:val="tx1"/>
            </w14:solidFill>
          </w14:textFill>
        </w:rPr>
        <w:t xml:space="preserve"> </w:t>
      </w:r>
      <w:r>
        <w:rPr>
          <w:rFonts w:hint="eastAsia" w:ascii="仿宋" w:hAnsi="仿宋" w:eastAsia="仿宋" w:cs="仿宋"/>
          <w:bCs/>
          <w:sz w:val="32"/>
          <w:szCs w:val="32"/>
        </w:rPr>
        <w:t>本细则自202</w:t>
      </w:r>
      <w:r>
        <w:rPr>
          <w:rFonts w:hint="eastAsia" w:ascii="仿宋" w:hAnsi="仿宋" w:eastAsia="仿宋" w:cs="仿宋"/>
          <w:bCs/>
          <w:sz w:val="32"/>
          <w:szCs w:val="32"/>
          <w:lang w:val="en-US" w:eastAsia="zh-CN"/>
        </w:rPr>
        <w:t>3</w:t>
      </w:r>
      <w:r>
        <w:rPr>
          <w:rFonts w:hint="eastAsia" w:ascii="仿宋" w:hAnsi="仿宋" w:eastAsia="仿宋" w:cs="仿宋"/>
          <w:bCs/>
          <w:sz w:val="32"/>
          <w:szCs w:val="32"/>
        </w:rPr>
        <w:t>年</w:t>
      </w:r>
      <w:r>
        <w:rPr>
          <w:rFonts w:hint="eastAsia" w:ascii="仿宋" w:hAnsi="仿宋" w:eastAsia="仿宋" w:cs="仿宋"/>
          <w:bCs/>
          <w:sz w:val="32"/>
          <w:szCs w:val="32"/>
          <w:lang w:val="en-US" w:eastAsia="zh-CN"/>
        </w:rPr>
        <w:t>5</w:t>
      </w:r>
      <w:r>
        <w:rPr>
          <w:rFonts w:hint="eastAsia" w:ascii="仿宋" w:hAnsi="仿宋" w:eastAsia="仿宋" w:cs="仿宋"/>
          <w:bCs/>
          <w:sz w:val="32"/>
          <w:szCs w:val="32"/>
        </w:rPr>
        <w:t>月起实施，由上海交通大学巴黎卓越工程师学院学生工作办公室负责解释。</w:t>
      </w:r>
    </w:p>
    <w:p>
      <w:pPr>
        <w:widowControl/>
        <w:spacing w:line="360" w:lineRule="auto"/>
        <w:ind w:right="119"/>
        <w:jc w:val="right"/>
        <w:rPr>
          <w:rFonts w:ascii="仿宋" w:hAnsi="仿宋" w:eastAsia="仿宋" w:cs="仿宋"/>
          <w:sz w:val="32"/>
          <w:szCs w:val="32"/>
        </w:rPr>
      </w:pPr>
      <w:r>
        <w:rPr>
          <w:rFonts w:hint="eastAsia" w:ascii="仿宋" w:hAnsi="仿宋" w:eastAsia="仿宋" w:cs="仿宋"/>
          <w:sz w:val="32"/>
          <w:szCs w:val="32"/>
        </w:rPr>
        <w:t>上海交通大学巴黎卓越工程师学院</w:t>
      </w:r>
    </w:p>
    <w:p>
      <w:pPr>
        <w:widowControl/>
        <w:spacing w:line="360" w:lineRule="auto"/>
        <w:ind w:right="119"/>
        <w:jc w:val="right"/>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p>
    <w:sectPr>
      <w:pgSz w:w="11900" w:h="16840"/>
      <w:pgMar w:top="1361" w:right="1247" w:bottom="1474" w:left="1474" w:header="851" w:footer="992" w:gutter="0"/>
      <w:cols w:space="0" w:num="1"/>
      <w:docGrid w:linePitch="2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CDB826"/>
    <w:multiLevelType w:val="singleLevel"/>
    <w:tmpl w:val="3ECDB826"/>
    <w:lvl w:ilvl="0" w:tentative="0">
      <w:start w:val="1"/>
      <w:numFmt w:val="chineseCounting"/>
      <w:suff w:val="space"/>
      <w:lvlText w:val="第%1章"/>
      <w:lvlJc w:val="left"/>
      <w:rPr>
        <w:rFonts w:hint="eastAsia"/>
      </w:rPr>
    </w:lvl>
  </w:abstractNum>
  <w:abstractNum w:abstractNumId="1">
    <w:nsid w:val="5B032BC3"/>
    <w:multiLevelType w:val="singleLevel"/>
    <w:tmpl w:val="5B032BC3"/>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210"/>
  <w:drawingGridVerticalSpacing w:val="145"/>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U1MzkxNzMyMWZiNmI4MmE4NjZhMDNjOGEyYjM2MGEifQ=="/>
  </w:docVars>
  <w:rsids>
    <w:rsidRoot w:val="000819D5"/>
    <w:rsid w:val="000127C0"/>
    <w:rsid w:val="00013534"/>
    <w:rsid w:val="000263AD"/>
    <w:rsid w:val="00034C96"/>
    <w:rsid w:val="00040907"/>
    <w:rsid w:val="00040D9F"/>
    <w:rsid w:val="00046ACB"/>
    <w:rsid w:val="00063DD0"/>
    <w:rsid w:val="00064182"/>
    <w:rsid w:val="000672A8"/>
    <w:rsid w:val="00070382"/>
    <w:rsid w:val="00073937"/>
    <w:rsid w:val="000819D5"/>
    <w:rsid w:val="000873A1"/>
    <w:rsid w:val="000A1DAC"/>
    <w:rsid w:val="000C4A42"/>
    <w:rsid w:val="000E0F15"/>
    <w:rsid w:val="000E2FE7"/>
    <w:rsid w:val="000F7285"/>
    <w:rsid w:val="001106F2"/>
    <w:rsid w:val="001126ED"/>
    <w:rsid w:val="0011591C"/>
    <w:rsid w:val="00122EB1"/>
    <w:rsid w:val="00136FF9"/>
    <w:rsid w:val="001456F3"/>
    <w:rsid w:val="001637D9"/>
    <w:rsid w:val="0017321A"/>
    <w:rsid w:val="00181BEA"/>
    <w:rsid w:val="00184592"/>
    <w:rsid w:val="00187422"/>
    <w:rsid w:val="00191848"/>
    <w:rsid w:val="00193778"/>
    <w:rsid w:val="00194354"/>
    <w:rsid w:val="001943A6"/>
    <w:rsid w:val="001A0EF9"/>
    <w:rsid w:val="001A5463"/>
    <w:rsid w:val="001E1A88"/>
    <w:rsid w:val="0021246B"/>
    <w:rsid w:val="002272F0"/>
    <w:rsid w:val="00237541"/>
    <w:rsid w:val="002548EF"/>
    <w:rsid w:val="0026479C"/>
    <w:rsid w:val="0026567D"/>
    <w:rsid w:val="002A351D"/>
    <w:rsid w:val="002A4526"/>
    <w:rsid w:val="002C3232"/>
    <w:rsid w:val="002E0D85"/>
    <w:rsid w:val="002E337B"/>
    <w:rsid w:val="002E444E"/>
    <w:rsid w:val="002F05F6"/>
    <w:rsid w:val="002F237A"/>
    <w:rsid w:val="00301208"/>
    <w:rsid w:val="003123C5"/>
    <w:rsid w:val="00315828"/>
    <w:rsid w:val="0033317A"/>
    <w:rsid w:val="00350F4A"/>
    <w:rsid w:val="00384A11"/>
    <w:rsid w:val="00397F5D"/>
    <w:rsid w:val="00400E17"/>
    <w:rsid w:val="00401FF2"/>
    <w:rsid w:val="00436191"/>
    <w:rsid w:val="00446CD4"/>
    <w:rsid w:val="0047118F"/>
    <w:rsid w:val="0047164A"/>
    <w:rsid w:val="004736F4"/>
    <w:rsid w:val="00481823"/>
    <w:rsid w:val="004A5C70"/>
    <w:rsid w:val="004B3649"/>
    <w:rsid w:val="004B7BD9"/>
    <w:rsid w:val="004C3471"/>
    <w:rsid w:val="004C6213"/>
    <w:rsid w:val="005064BA"/>
    <w:rsid w:val="00516969"/>
    <w:rsid w:val="00516A92"/>
    <w:rsid w:val="00525C68"/>
    <w:rsid w:val="0053222A"/>
    <w:rsid w:val="00556389"/>
    <w:rsid w:val="00563974"/>
    <w:rsid w:val="00571ED6"/>
    <w:rsid w:val="00581928"/>
    <w:rsid w:val="0059417D"/>
    <w:rsid w:val="005948AF"/>
    <w:rsid w:val="00596620"/>
    <w:rsid w:val="00597E64"/>
    <w:rsid w:val="005A0A03"/>
    <w:rsid w:val="005A47DB"/>
    <w:rsid w:val="005C166B"/>
    <w:rsid w:val="005D35A5"/>
    <w:rsid w:val="005F06D5"/>
    <w:rsid w:val="005F2307"/>
    <w:rsid w:val="005F37A6"/>
    <w:rsid w:val="005F4E5D"/>
    <w:rsid w:val="0064185C"/>
    <w:rsid w:val="00655285"/>
    <w:rsid w:val="00655307"/>
    <w:rsid w:val="00671A86"/>
    <w:rsid w:val="006A2DD9"/>
    <w:rsid w:val="006A5FB9"/>
    <w:rsid w:val="006A72B4"/>
    <w:rsid w:val="006A7CD5"/>
    <w:rsid w:val="006B49B2"/>
    <w:rsid w:val="00701772"/>
    <w:rsid w:val="00702EFD"/>
    <w:rsid w:val="00713CAB"/>
    <w:rsid w:val="00724125"/>
    <w:rsid w:val="007346E8"/>
    <w:rsid w:val="00737F79"/>
    <w:rsid w:val="00745D12"/>
    <w:rsid w:val="00751B37"/>
    <w:rsid w:val="007727AB"/>
    <w:rsid w:val="007731F0"/>
    <w:rsid w:val="00783B46"/>
    <w:rsid w:val="007A459C"/>
    <w:rsid w:val="007A4C3E"/>
    <w:rsid w:val="007A54F2"/>
    <w:rsid w:val="007A6A02"/>
    <w:rsid w:val="007B04C8"/>
    <w:rsid w:val="007B1BF1"/>
    <w:rsid w:val="007D38FC"/>
    <w:rsid w:val="007E515C"/>
    <w:rsid w:val="007E5AB8"/>
    <w:rsid w:val="007F05E1"/>
    <w:rsid w:val="007F2613"/>
    <w:rsid w:val="008069EC"/>
    <w:rsid w:val="00812724"/>
    <w:rsid w:val="008131AA"/>
    <w:rsid w:val="008137C5"/>
    <w:rsid w:val="00830BA7"/>
    <w:rsid w:val="0084538E"/>
    <w:rsid w:val="0085766B"/>
    <w:rsid w:val="008611F5"/>
    <w:rsid w:val="008C4045"/>
    <w:rsid w:val="008C51E4"/>
    <w:rsid w:val="008F07B4"/>
    <w:rsid w:val="00911CE4"/>
    <w:rsid w:val="00915048"/>
    <w:rsid w:val="0091510A"/>
    <w:rsid w:val="00931686"/>
    <w:rsid w:val="009442F1"/>
    <w:rsid w:val="00947731"/>
    <w:rsid w:val="00965CB7"/>
    <w:rsid w:val="009F2773"/>
    <w:rsid w:val="009F463A"/>
    <w:rsid w:val="00A07D35"/>
    <w:rsid w:val="00A270A2"/>
    <w:rsid w:val="00A5028C"/>
    <w:rsid w:val="00A53551"/>
    <w:rsid w:val="00A54F02"/>
    <w:rsid w:val="00A56829"/>
    <w:rsid w:val="00A634BD"/>
    <w:rsid w:val="00A86664"/>
    <w:rsid w:val="00A9027F"/>
    <w:rsid w:val="00A912D9"/>
    <w:rsid w:val="00A91A68"/>
    <w:rsid w:val="00A92FCE"/>
    <w:rsid w:val="00A954DE"/>
    <w:rsid w:val="00A95B78"/>
    <w:rsid w:val="00AB6AA4"/>
    <w:rsid w:val="00AF3AD4"/>
    <w:rsid w:val="00AF50CE"/>
    <w:rsid w:val="00B02DDA"/>
    <w:rsid w:val="00B109CE"/>
    <w:rsid w:val="00B10AF3"/>
    <w:rsid w:val="00B14882"/>
    <w:rsid w:val="00B37F9C"/>
    <w:rsid w:val="00B44F4B"/>
    <w:rsid w:val="00B575FB"/>
    <w:rsid w:val="00B63C43"/>
    <w:rsid w:val="00B76080"/>
    <w:rsid w:val="00B8094A"/>
    <w:rsid w:val="00B9354C"/>
    <w:rsid w:val="00BA5C9E"/>
    <w:rsid w:val="00BB244A"/>
    <w:rsid w:val="00BB3243"/>
    <w:rsid w:val="00BC4791"/>
    <w:rsid w:val="00BC7903"/>
    <w:rsid w:val="00BD26D8"/>
    <w:rsid w:val="00BD4967"/>
    <w:rsid w:val="00BE1C8B"/>
    <w:rsid w:val="00BE40D0"/>
    <w:rsid w:val="00C45F8A"/>
    <w:rsid w:val="00C55598"/>
    <w:rsid w:val="00C57792"/>
    <w:rsid w:val="00C64060"/>
    <w:rsid w:val="00C67738"/>
    <w:rsid w:val="00C83594"/>
    <w:rsid w:val="00CA6820"/>
    <w:rsid w:val="00CA6DD9"/>
    <w:rsid w:val="00CB178C"/>
    <w:rsid w:val="00CC6052"/>
    <w:rsid w:val="00CD3126"/>
    <w:rsid w:val="00CD534A"/>
    <w:rsid w:val="00CD6D74"/>
    <w:rsid w:val="00CE4FD6"/>
    <w:rsid w:val="00CF1265"/>
    <w:rsid w:val="00D17B94"/>
    <w:rsid w:val="00D32DEF"/>
    <w:rsid w:val="00D44D38"/>
    <w:rsid w:val="00D63320"/>
    <w:rsid w:val="00D63E90"/>
    <w:rsid w:val="00D642C2"/>
    <w:rsid w:val="00D667CA"/>
    <w:rsid w:val="00D758E4"/>
    <w:rsid w:val="00D85458"/>
    <w:rsid w:val="00D85C9B"/>
    <w:rsid w:val="00DB466D"/>
    <w:rsid w:val="00DC0AFB"/>
    <w:rsid w:val="00DC7D14"/>
    <w:rsid w:val="00DD2B81"/>
    <w:rsid w:val="00DF2CDE"/>
    <w:rsid w:val="00E1606D"/>
    <w:rsid w:val="00E2420D"/>
    <w:rsid w:val="00E91624"/>
    <w:rsid w:val="00E97E12"/>
    <w:rsid w:val="00EA018A"/>
    <w:rsid w:val="00EB4D93"/>
    <w:rsid w:val="00EE30EA"/>
    <w:rsid w:val="00EE60EE"/>
    <w:rsid w:val="00EF0F83"/>
    <w:rsid w:val="00EF3EE5"/>
    <w:rsid w:val="00F11345"/>
    <w:rsid w:val="00F45BDB"/>
    <w:rsid w:val="00F45EE6"/>
    <w:rsid w:val="00F53EB4"/>
    <w:rsid w:val="00F6078F"/>
    <w:rsid w:val="00F83B8E"/>
    <w:rsid w:val="00FA2D21"/>
    <w:rsid w:val="00FB1B04"/>
    <w:rsid w:val="00FC7B63"/>
    <w:rsid w:val="00FD23C0"/>
    <w:rsid w:val="00FE0CB6"/>
    <w:rsid w:val="00FE7AF4"/>
    <w:rsid w:val="00FF2DE3"/>
    <w:rsid w:val="00FF72A0"/>
    <w:rsid w:val="01F109C9"/>
    <w:rsid w:val="02387030"/>
    <w:rsid w:val="023F7D9A"/>
    <w:rsid w:val="027C3A18"/>
    <w:rsid w:val="02B250DA"/>
    <w:rsid w:val="033E071B"/>
    <w:rsid w:val="03492863"/>
    <w:rsid w:val="037936EC"/>
    <w:rsid w:val="03831598"/>
    <w:rsid w:val="0393715F"/>
    <w:rsid w:val="03A81581"/>
    <w:rsid w:val="03E66513"/>
    <w:rsid w:val="043A79D3"/>
    <w:rsid w:val="05045825"/>
    <w:rsid w:val="065C152C"/>
    <w:rsid w:val="06741DA5"/>
    <w:rsid w:val="084C0EB0"/>
    <w:rsid w:val="08872B64"/>
    <w:rsid w:val="09001CFD"/>
    <w:rsid w:val="091F0E95"/>
    <w:rsid w:val="0937514F"/>
    <w:rsid w:val="09630EDC"/>
    <w:rsid w:val="099C594D"/>
    <w:rsid w:val="0ACF2777"/>
    <w:rsid w:val="0ADE1A08"/>
    <w:rsid w:val="0AE0655C"/>
    <w:rsid w:val="0BBC5D50"/>
    <w:rsid w:val="0BDE2A9B"/>
    <w:rsid w:val="0BF65853"/>
    <w:rsid w:val="0C9E1EEA"/>
    <w:rsid w:val="0CB0345E"/>
    <w:rsid w:val="0CE2480D"/>
    <w:rsid w:val="0DD05998"/>
    <w:rsid w:val="0E2B0849"/>
    <w:rsid w:val="0E802992"/>
    <w:rsid w:val="0E8348EB"/>
    <w:rsid w:val="0EC80E68"/>
    <w:rsid w:val="0F5C6334"/>
    <w:rsid w:val="0F9F0B58"/>
    <w:rsid w:val="0FFA33CC"/>
    <w:rsid w:val="103C2478"/>
    <w:rsid w:val="11863010"/>
    <w:rsid w:val="118D1A9F"/>
    <w:rsid w:val="11953833"/>
    <w:rsid w:val="11E579A3"/>
    <w:rsid w:val="122101F5"/>
    <w:rsid w:val="12804BDA"/>
    <w:rsid w:val="12B02E5D"/>
    <w:rsid w:val="12CA3D79"/>
    <w:rsid w:val="12E70326"/>
    <w:rsid w:val="13A45940"/>
    <w:rsid w:val="13BB1148"/>
    <w:rsid w:val="141A7194"/>
    <w:rsid w:val="153544CE"/>
    <w:rsid w:val="154953FA"/>
    <w:rsid w:val="1552050A"/>
    <w:rsid w:val="164C4E8A"/>
    <w:rsid w:val="17AA6EC0"/>
    <w:rsid w:val="17DB44C5"/>
    <w:rsid w:val="193B7600"/>
    <w:rsid w:val="1A7E53C6"/>
    <w:rsid w:val="1B425431"/>
    <w:rsid w:val="1B79354B"/>
    <w:rsid w:val="1B7951E7"/>
    <w:rsid w:val="1B976C9E"/>
    <w:rsid w:val="1BFF45FD"/>
    <w:rsid w:val="1C8A70B8"/>
    <w:rsid w:val="1CE7093B"/>
    <w:rsid w:val="1D0C78F1"/>
    <w:rsid w:val="1D3A2C59"/>
    <w:rsid w:val="1DF02360"/>
    <w:rsid w:val="1E1247CB"/>
    <w:rsid w:val="1E9746B2"/>
    <w:rsid w:val="1E9B1C91"/>
    <w:rsid w:val="1EC86B4E"/>
    <w:rsid w:val="1FA75BF8"/>
    <w:rsid w:val="1FE77B1A"/>
    <w:rsid w:val="20112FE8"/>
    <w:rsid w:val="20316696"/>
    <w:rsid w:val="20906010"/>
    <w:rsid w:val="20C92500"/>
    <w:rsid w:val="21B241FD"/>
    <w:rsid w:val="21FC0AB4"/>
    <w:rsid w:val="222C4FDA"/>
    <w:rsid w:val="225804C5"/>
    <w:rsid w:val="23FF75FB"/>
    <w:rsid w:val="24A83FDD"/>
    <w:rsid w:val="26465298"/>
    <w:rsid w:val="2693160E"/>
    <w:rsid w:val="2790658A"/>
    <w:rsid w:val="28810F74"/>
    <w:rsid w:val="2A136347"/>
    <w:rsid w:val="2A2B5E4B"/>
    <w:rsid w:val="2B977607"/>
    <w:rsid w:val="2C301C6D"/>
    <w:rsid w:val="2C73237D"/>
    <w:rsid w:val="2D8665BB"/>
    <w:rsid w:val="2DAF724E"/>
    <w:rsid w:val="2DDA60A5"/>
    <w:rsid w:val="2E7E0E12"/>
    <w:rsid w:val="2F25085E"/>
    <w:rsid w:val="2FF034A9"/>
    <w:rsid w:val="30557311"/>
    <w:rsid w:val="308D0D4F"/>
    <w:rsid w:val="30B9217A"/>
    <w:rsid w:val="31BE46F5"/>
    <w:rsid w:val="33A90CB3"/>
    <w:rsid w:val="34391824"/>
    <w:rsid w:val="351E7F7E"/>
    <w:rsid w:val="352410E9"/>
    <w:rsid w:val="35BD1563"/>
    <w:rsid w:val="35E83DB8"/>
    <w:rsid w:val="36B1172D"/>
    <w:rsid w:val="376A0A10"/>
    <w:rsid w:val="376D09BC"/>
    <w:rsid w:val="379C1207"/>
    <w:rsid w:val="37D350C4"/>
    <w:rsid w:val="38910D12"/>
    <w:rsid w:val="39003F37"/>
    <w:rsid w:val="39100D70"/>
    <w:rsid w:val="391A2AB5"/>
    <w:rsid w:val="398268AC"/>
    <w:rsid w:val="3A75009A"/>
    <w:rsid w:val="3A885EDD"/>
    <w:rsid w:val="3B30014B"/>
    <w:rsid w:val="3CE107AC"/>
    <w:rsid w:val="3E53500F"/>
    <w:rsid w:val="3E991141"/>
    <w:rsid w:val="3F3C12AC"/>
    <w:rsid w:val="3F745381"/>
    <w:rsid w:val="3F803631"/>
    <w:rsid w:val="3F9B3A12"/>
    <w:rsid w:val="3FD21E14"/>
    <w:rsid w:val="402E7D00"/>
    <w:rsid w:val="403E660D"/>
    <w:rsid w:val="410158D1"/>
    <w:rsid w:val="420E5181"/>
    <w:rsid w:val="4237620D"/>
    <w:rsid w:val="42BA5A16"/>
    <w:rsid w:val="42C35984"/>
    <w:rsid w:val="43F83060"/>
    <w:rsid w:val="452B429C"/>
    <w:rsid w:val="452F5D1D"/>
    <w:rsid w:val="456B61E8"/>
    <w:rsid w:val="48563DCD"/>
    <w:rsid w:val="48AF59E7"/>
    <w:rsid w:val="48F07F41"/>
    <w:rsid w:val="4A47414D"/>
    <w:rsid w:val="4B777957"/>
    <w:rsid w:val="4B9A179E"/>
    <w:rsid w:val="4BE61FB5"/>
    <w:rsid w:val="4CD7788D"/>
    <w:rsid w:val="4D7D1D55"/>
    <w:rsid w:val="4E5030D0"/>
    <w:rsid w:val="4F7B61F6"/>
    <w:rsid w:val="50553883"/>
    <w:rsid w:val="50A01F0B"/>
    <w:rsid w:val="50EE11C2"/>
    <w:rsid w:val="51282493"/>
    <w:rsid w:val="51C57632"/>
    <w:rsid w:val="51D552ED"/>
    <w:rsid w:val="525321C2"/>
    <w:rsid w:val="528349FB"/>
    <w:rsid w:val="531635B9"/>
    <w:rsid w:val="53301871"/>
    <w:rsid w:val="53B35E59"/>
    <w:rsid w:val="54615FF5"/>
    <w:rsid w:val="54797AFC"/>
    <w:rsid w:val="555E1B24"/>
    <w:rsid w:val="556429C9"/>
    <w:rsid w:val="55B01F1F"/>
    <w:rsid w:val="561954B5"/>
    <w:rsid w:val="5652682A"/>
    <w:rsid w:val="56B93AF5"/>
    <w:rsid w:val="57100534"/>
    <w:rsid w:val="571D2BF2"/>
    <w:rsid w:val="57B63E99"/>
    <w:rsid w:val="581C244A"/>
    <w:rsid w:val="58A66971"/>
    <w:rsid w:val="58E34765"/>
    <w:rsid w:val="59194667"/>
    <w:rsid w:val="5A57783A"/>
    <w:rsid w:val="5AE87391"/>
    <w:rsid w:val="5B365061"/>
    <w:rsid w:val="5B7C7936"/>
    <w:rsid w:val="5C205CD8"/>
    <w:rsid w:val="5C403C13"/>
    <w:rsid w:val="5CE95EF7"/>
    <w:rsid w:val="5DBC7D30"/>
    <w:rsid w:val="5DD30137"/>
    <w:rsid w:val="5E122A4C"/>
    <w:rsid w:val="5E2212FD"/>
    <w:rsid w:val="5E294DBD"/>
    <w:rsid w:val="5EAE297F"/>
    <w:rsid w:val="5F5A3419"/>
    <w:rsid w:val="5F6F10B1"/>
    <w:rsid w:val="5FB6208B"/>
    <w:rsid w:val="6063655C"/>
    <w:rsid w:val="60840C52"/>
    <w:rsid w:val="6090299C"/>
    <w:rsid w:val="60D01B55"/>
    <w:rsid w:val="612E7483"/>
    <w:rsid w:val="613629AC"/>
    <w:rsid w:val="615B4A72"/>
    <w:rsid w:val="61DF5476"/>
    <w:rsid w:val="62B243B1"/>
    <w:rsid w:val="62D17DD9"/>
    <w:rsid w:val="645F79DD"/>
    <w:rsid w:val="64785DC1"/>
    <w:rsid w:val="64BE2F01"/>
    <w:rsid w:val="656F52B6"/>
    <w:rsid w:val="65947210"/>
    <w:rsid w:val="66FF33AD"/>
    <w:rsid w:val="68090528"/>
    <w:rsid w:val="68E41D86"/>
    <w:rsid w:val="69BF55EB"/>
    <w:rsid w:val="6A886089"/>
    <w:rsid w:val="6AFA59F3"/>
    <w:rsid w:val="6B4F780B"/>
    <w:rsid w:val="6B6506FF"/>
    <w:rsid w:val="6B803492"/>
    <w:rsid w:val="6BA66668"/>
    <w:rsid w:val="6BB340BD"/>
    <w:rsid w:val="6BC24763"/>
    <w:rsid w:val="6D610C89"/>
    <w:rsid w:val="6DDB7D5E"/>
    <w:rsid w:val="6ED2569F"/>
    <w:rsid w:val="6F340820"/>
    <w:rsid w:val="6F383243"/>
    <w:rsid w:val="6F943663"/>
    <w:rsid w:val="701D1CA0"/>
    <w:rsid w:val="7096294F"/>
    <w:rsid w:val="711A7539"/>
    <w:rsid w:val="71DE7E1D"/>
    <w:rsid w:val="725A3947"/>
    <w:rsid w:val="74DD0860"/>
    <w:rsid w:val="75E8745C"/>
    <w:rsid w:val="75E878C7"/>
    <w:rsid w:val="76792F92"/>
    <w:rsid w:val="76A41635"/>
    <w:rsid w:val="77044D89"/>
    <w:rsid w:val="779C0102"/>
    <w:rsid w:val="77B00976"/>
    <w:rsid w:val="77E37765"/>
    <w:rsid w:val="78570A42"/>
    <w:rsid w:val="79074D68"/>
    <w:rsid w:val="79AB4A88"/>
    <w:rsid w:val="7A487B90"/>
    <w:rsid w:val="7A653600"/>
    <w:rsid w:val="7B162906"/>
    <w:rsid w:val="7B220BBA"/>
    <w:rsid w:val="7BFD2D80"/>
    <w:rsid w:val="7D470C3F"/>
    <w:rsid w:val="7D7E0B5A"/>
    <w:rsid w:val="7DA056F0"/>
    <w:rsid w:val="7E7031DC"/>
    <w:rsid w:val="7F986DEB"/>
    <w:rsid w:val="7FD928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semiHidden/>
    <w:unhideWhenUsed/>
    <w:qFormat/>
    <w:uiPriority w:val="99"/>
    <w:pPr>
      <w:jc w:val="left"/>
    </w:pPr>
  </w:style>
  <w:style w:type="paragraph" w:styleId="3">
    <w:name w:val="Balloon Text"/>
    <w:basedOn w:val="1"/>
    <w:link w:val="16"/>
    <w:semiHidden/>
    <w:unhideWhenUsed/>
    <w:qFormat/>
    <w:uiPriority w:val="99"/>
    <w:rPr>
      <w:sz w:val="16"/>
      <w:szCs w:val="16"/>
    </w:rPr>
  </w:style>
  <w:style w:type="paragraph" w:styleId="4">
    <w:name w:val="footer"/>
    <w:basedOn w:val="1"/>
    <w:link w:val="19"/>
    <w:unhideWhenUsed/>
    <w:qFormat/>
    <w:uiPriority w:val="99"/>
    <w:pPr>
      <w:tabs>
        <w:tab w:val="center" w:pos="4153"/>
        <w:tab w:val="right" w:pos="8306"/>
      </w:tabs>
      <w:snapToGrid w:val="0"/>
      <w:jc w:val="left"/>
    </w:pPr>
    <w:rPr>
      <w:sz w:val="18"/>
      <w:szCs w:val="18"/>
    </w:rPr>
  </w:style>
  <w:style w:type="paragraph" w:styleId="5">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4"/>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8">
    <w:name w:val="annotation subject"/>
    <w:basedOn w:val="2"/>
    <w:next w:val="2"/>
    <w:link w:val="22"/>
    <w:semiHidden/>
    <w:unhideWhenUsed/>
    <w:qFormat/>
    <w:uiPriority w:val="99"/>
    <w:rPr>
      <w:b/>
      <w:bCs/>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styleId="13">
    <w:name w:val="annotation reference"/>
    <w:basedOn w:val="11"/>
    <w:semiHidden/>
    <w:unhideWhenUsed/>
    <w:qFormat/>
    <w:uiPriority w:val="99"/>
    <w:rPr>
      <w:sz w:val="21"/>
      <w:szCs w:val="21"/>
    </w:rPr>
  </w:style>
  <w:style w:type="character" w:customStyle="1" w:styleId="14">
    <w:name w:val="HTML 预设格式 字符"/>
    <w:basedOn w:val="11"/>
    <w:link w:val="6"/>
    <w:qFormat/>
    <w:uiPriority w:val="99"/>
    <w:rPr>
      <w:rFonts w:ascii="宋体" w:hAnsi="宋体" w:eastAsia="宋体" w:cs="宋体"/>
      <w:kern w:val="0"/>
      <w:sz w:val="24"/>
    </w:rPr>
  </w:style>
  <w:style w:type="paragraph" w:styleId="15">
    <w:name w:val="List Paragraph"/>
    <w:basedOn w:val="1"/>
    <w:qFormat/>
    <w:uiPriority w:val="34"/>
    <w:pPr>
      <w:ind w:firstLine="420" w:firstLineChars="200"/>
    </w:pPr>
  </w:style>
  <w:style w:type="character" w:customStyle="1" w:styleId="16">
    <w:name w:val="批注框文本 字符"/>
    <w:basedOn w:val="11"/>
    <w:link w:val="3"/>
    <w:semiHidden/>
    <w:qFormat/>
    <w:uiPriority w:val="99"/>
    <w:rPr>
      <w:sz w:val="16"/>
      <w:szCs w:val="16"/>
    </w:rPr>
  </w:style>
  <w:style w:type="character" w:customStyle="1" w:styleId="17">
    <w:name w:val="未处理的提及1"/>
    <w:basedOn w:val="11"/>
    <w:semiHidden/>
    <w:unhideWhenUsed/>
    <w:qFormat/>
    <w:uiPriority w:val="99"/>
    <w:rPr>
      <w:color w:val="605E5C"/>
      <w:shd w:val="clear" w:color="auto" w:fill="E1DFDD"/>
    </w:rPr>
  </w:style>
  <w:style w:type="character" w:customStyle="1" w:styleId="18">
    <w:name w:val="页眉 字符"/>
    <w:basedOn w:val="11"/>
    <w:link w:val="5"/>
    <w:qFormat/>
    <w:uiPriority w:val="99"/>
    <w:rPr>
      <w:sz w:val="18"/>
      <w:szCs w:val="18"/>
    </w:rPr>
  </w:style>
  <w:style w:type="character" w:customStyle="1" w:styleId="19">
    <w:name w:val="页脚 字符"/>
    <w:basedOn w:val="11"/>
    <w:link w:val="4"/>
    <w:qFormat/>
    <w:uiPriority w:val="99"/>
    <w:rPr>
      <w:sz w:val="18"/>
      <w:szCs w:val="18"/>
    </w:rPr>
  </w:style>
  <w:style w:type="character" w:customStyle="1" w:styleId="20">
    <w:name w:val="未处理的提及2"/>
    <w:basedOn w:val="11"/>
    <w:semiHidden/>
    <w:unhideWhenUsed/>
    <w:qFormat/>
    <w:uiPriority w:val="99"/>
    <w:rPr>
      <w:color w:val="605E5C"/>
      <w:shd w:val="clear" w:color="auto" w:fill="E1DFDD"/>
    </w:rPr>
  </w:style>
  <w:style w:type="character" w:customStyle="1" w:styleId="21">
    <w:name w:val="批注文字 字符"/>
    <w:basedOn w:val="11"/>
    <w:link w:val="2"/>
    <w:semiHidden/>
    <w:qFormat/>
    <w:uiPriority w:val="99"/>
    <w:rPr>
      <w:kern w:val="2"/>
      <w:sz w:val="21"/>
      <w:szCs w:val="24"/>
    </w:rPr>
  </w:style>
  <w:style w:type="character" w:customStyle="1" w:styleId="22">
    <w:name w:val="批注主题 字符"/>
    <w:basedOn w:val="21"/>
    <w:link w:val="8"/>
    <w:semiHidden/>
    <w:qFormat/>
    <w:uiPriority w:val="99"/>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2098</Words>
  <Characters>2125</Characters>
  <Lines>15</Lines>
  <Paragraphs>4</Paragraphs>
  <TotalTime>0</TotalTime>
  <ScaleCrop>false</ScaleCrop>
  <LinksUpToDate>false</LinksUpToDate>
  <CharactersWithSpaces>2254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2020-09-14T10:10:00Z</dcterms:created>
  <dc:creator>Microsoft Office 用户</dc:creator>
  <cp:lastModifiedBy>Yan</cp:lastModifiedBy>
  <cp:lastPrinted>2018-09-13T01:51:00Z</cp:lastPrinted>
  <dcterms:modified xsi:type="dcterms:W3CDTF">2023-09-11T01:27:27Z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807C65D73C6C4097A1B80FEAC6178DFF</vt:lpwstr>
  </property>
</Properties>
</file>